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9C0" w:rsidRPr="00A81AAE" w:rsidRDefault="004719C0" w:rsidP="00647533">
      <w:pPr>
        <w:jc w:val="center"/>
        <w:rPr>
          <w:b/>
          <w:sz w:val="36"/>
          <w:szCs w:val="36"/>
          <w:lang w:val="en-GB"/>
        </w:rPr>
      </w:pPr>
      <w:r w:rsidRPr="00A81AAE">
        <w:rPr>
          <w:b/>
          <w:noProof/>
          <w:sz w:val="36"/>
          <w:szCs w:val="36"/>
        </w:rPr>
        <w:drawing>
          <wp:inline distT="0" distB="0" distL="0" distR="0">
            <wp:extent cx="3105150" cy="914400"/>
            <wp:effectExtent l="19050" t="0" r="0" b="0"/>
            <wp:docPr id="3" name="Picture 1" descr="unifij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fiji logo.jpg"/>
                    <pic:cNvPicPr>
                      <a:picLocks noChangeAspect="1" noChangeArrowheads="1"/>
                    </pic:cNvPicPr>
                  </pic:nvPicPr>
                  <pic:blipFill>
                    <a:blip r:embed="rId8" r:link="rId9" cstate="print"/>
                    <a:srcRect/>
                    <a:stretch>
                      <a:fillRect/>
                    </a:stretch>
                  </pic:blipFill>
                  <pic:spPr bwMode="auto">
                    <a:xfrm>
                      <a:off x="0" y="0"/>
                      <a:ext cx="3105150" cy="914400"/>
                    </a:xfrm>
                    <a:prstGeom prst="rect">
                      <a:avLst/>
                    </a:prstGeom>
                    <a:noFill/>
                    <a:ln w="9525">
                      <a:noFill/>
                      <a:miter lim="800000"/>
                      <a:headEnd/>
                      <a:tailEnd/>
                    </a:ln>
                  </pic:spPr>
                </pic:pic>
              </a:graphicData>
            </a:graphic>
          </wp:inline>
        </w:drawing>
      </w:r>
    </w:p>
    <w:p w:rsidR="004719C0" w:rsidRPr="00A81AAE" w:rsidRDefault="004719C0" w:rsidP="004719C0">
      <w:pPr>
        <w:rPr>
          <w:b/>
          <w:sz w:val="36"/>
          <w:szCs w:val="36"/>
          <w:lang w:val="en-GB"/>
        </w:rPr>
      </w:pPr>
    </w:p>
    <w:p w:rsidR="004719C0" w:rsidRPr="00A81AAE" w:rsidRDefault="004719C0" w:rsidP="004719C0">
      <w:pPr>
        <w:jc w:val="center"/>
        <w:rPr>
          <w:rFonts w:cs="Times New Roman"/>
          <w:b/>
          <w:sz w:val="32"/>
          <w:szCs w:val="32"/>
          <w:lang w:val="en-GB"/>
        </w:rPr>
      </w:pPr>
      <w:r w:rsidRPr="00A81AAE">
        <w:rPr>
          <w:rFonts w:cs="Times New Roman"/>
          <w:b/>
          <w:sz w:val="32"/>
          <w:szCs w:val="32"/>
          <w:lang w:val="en-GB"/>
        </w:rPr>
        <w:t>Competitive Research Proposal Bid 201</w:t>
      </w:r>
      <w:r w:rsidR="00647533" w:rsidRPr="00A81AAE">
        <w:rPr>
          <w:rFonts w:cs="Times New Roman"/>
          <w:b/>
          <w:sz w:val="32"/>
          <w:szCs w:val="32"/>
          <w:lang w:val="en-GB"/>
        </w:rPr>
        <w:t>7-2018</w:t>
      </w:r>
    </w:p>
    <w:p w:rsidR="004719C0" w:rsidRPr="00A81AAE" w:rsidRDefault="004719C0" w:rsidP="004719C0">
      <w:pPr>
        <w:jc w:val="center"/>
        <w:rPr>
          <w:rFonts w:cs="Times New Roman"/>
          <w:b/>
          <w:sz w:val="32"/>
          <w:szCs w:val="32"/>
          <w:lang w:val="en-GB"/>
        </w:rPr>
      </w:pPr>
    </w:p>
    <w:p w:rsidR="00647533" w:rsidRPr="00A81AAE" w:rsidRDefault="004719C0" w:rsidP="00647533">
      <w:pPr>
        <w:rPr>
          <w:sz w:val="48"/>
          <w:szCs w:val="48"/>
          <w:lang w:val="en-GB"/>
        </w:rPr>
      </w:pPr>
      <w:r w:rsidRPr="00A81AAE">
        <w:rPr>
          <w:rFonts w:cs="Times New Roman"/>
          <w:sz w:val="28"/>
          <w:szCs w:val="28"/>
          <w:lang w:val="en-GB"/>
        </w:rPr>
        <w:t xml:space="preserve">Topic: </w:t>
      </w:r>
      <w:r w:rsidR="00647533" w:rsidRPr="00A81AAE">
        <w:rPr>
          <w:b/>
          <w:i/>
          <w:sz w:val="36"/>
          <w:szCs w:val="36"/>
          <w:lang w:val="en-GB"/>
        </w:rPr>
        <w:t>Fiji Hindi in Fijian Schools: Mother Language Education and Public Attitude</w:t>
      </w:r>
    </w:p>
    <w:p w:rsidR="004719C0" w:rsidRPr="00A81AAE" w:rsidRDefault="004719C0" w:rsidP="004719C0">
      <w:pPr>
        <w:rPr>
          <w:b/>
          <w:i/>
          <w:sz w:val="36"/>
          <w:szCs w:val="36"/>
          <w:lang w:val="en-GB"/>
        </w:rPr>
      </w:pPr>
    </w:p>
    <w:p w:rsidR="004719C0" w:rsidRPr="00A81AAE" w:rsidRDefault="004719C0" w:rsidP="004719C0">
      <w:pPr>
        <w:jc w:val="center"/>
        <w:rPr>
          <w:rFonts w:cs="Times New Roman"/>
          <w:lang w:val="en-GB"/>
        </w:rPr>
      </w:pPr>
    </w:p>
    <w:p w:rsidR="004719C0" w:rsidRPr="00A81AAE" w:rsidRDefault="004719C0" w:rsidP="004719C0">
      <w:pPr>
        <w:jc w:val="center"/>
        <w:rPr>
          <w:rFonts w:cs="Times New Roman"/>
          <w:lang w:val="en-GB"/>
        </w:rPr>
      </w:pPr>
    </w:p>
    <w:p w:rsidR="004719C0" w:rsidRPr="00A81AAE" w:rsidRDefault="004719C0" w:rsidP="004719C0">
      <w:pPr>
        <w:jc w:val="center"/>
        <w:rPr>
          <w:rFonts w:cs="Times New Roman"/>
          <w:b/>
          <w:sz w:val="28"/>
          <w:szCs w:val="28"/>
          <w:lang w:val="en-GB"/>
        </w:rPr>
      </w:pPr>
      <w:r w:rsidRPr="00A81AAE">
        <w:rPr>
          <w:rFonts w:cs="Times New Roman"/>
          <w:b/>
          <w:sz w:val="28"/>
          <w:szCs w:val="28"/>
          <w:lang w:val="en-GB"/>
        </w:rPr>
        <w:t xml:space="preserve">Prepared by: </w:t>
      </w:r>
    </w:p>
    <w:p w:rsidR="004719C0" w:rsidRPr="00A81AAE" w:rsidRDefault="004719C0" w:rsidP="004719C0">
      <w:pPr>
        <w:rPr>
          <w:rFonts w:cs="Times New Roman"/>
          <w:lang w:val="en-GB"/>
        </w:rPr>
      </w:pPr>
    </w:p>
    <w:p w:rsidR="00647533" w:rsidRPr="00A81AAE" w:rsidRDefault="00647533" w:rsidP="00647533">
      <w:pPr>
        <w:pStyle w:val="ThesisBodytext1"/>
        <w:rPr>
          <w:rFonts w:asciiTheme="majorHAnsi" w:hAnsiTheme="majorHAnsi"/>
          <w:lang w:val="en-GB"/>
        </w:rPr>
      </w:pPr>
      <w:r w:rsidRPr="00A81AAE">
        <w:rPr>
          <w:rFonts w:asciiTheme="majorHAnsi" w:hAnsiTheme="majorHAnsi"/>
          <w:b/>
          <w:lang w:val="en-GB"/>
        </w:rPr>
        <w:t xml:space="preserve">Mr. Salesh Kumar </w:t>
      </w:r>
      <w:r w:rsidRPr="00A81AAE">
        <w:rPr>
          <w:rFonts w:asciiTheme="majorHAnsi" w:hAnsiTheme="majorHAnsi"/>
          <w:lang w:val="en-GB"/>
        </w:rPr>
        <w:t>– Department of Language, Literature and Communication, School of Humanities and Arts;</w:t>
      </w:r>
    </w:p>
    <w:p w:rsidR="00647533" w:rsidRPr="00A81AAE" w:rsidRDefault="00647533" w:rsidP="00647533">
      <w:pPr>
        <w:pStyle w:val="ThesisBodytext1"/>
        <w:rPr>
          <w:rFonts w:asciiTheme="majorHAnsi" w:hAnsiTheme="majorHAnsi"/>
          <w:b/>
          <w:lang w:val="en-GB"/>
        </w:rPr>
      </w:pPr>
    </w:p>
    <w:p w:rsidR="00647533" w:rsidRPr="00A81AAE" w:rsidRDefault="004719C0" w:rsidP="00647533">
      <w:pPr>
        <w:pStyle w:val="ThesisBodytext1"/>
        <w:rPr>
          <w:rFonts w:asciiTheme="majorHAnsi" w:hAnsiTheme="majorHAnsi"/>
          <w:lang w:val="en-GB"/>
        </w:rPr>
      </w:pPr>
      <w:r w:rsidRPr="00A81AAE">
        <w:rPr>
          <w:rFonts w:asciiTheme="majorHAnsi" w:hAnsiTheme="majorHAnsi"/>
          <w:b/>
          <w:lang w:val="en-GB"/>
        </w:rPr>
        <w:t xml:space="preserve">Ms. Manpreet Kaur </w:t>
      </w:r>
      <w:r w:rsidRPr="00A81AAE">
        <w:rPr>
          <w:rFonts w:asciiTheme="majorHAnsi" w:hAnsiTheme="majorHAnsi"/>
          <w:lang w:val="en-GB"/>
        </w:rPr>
        <w:t xml:space="preserve">– Department of Language, Literature and Communication, School of </w:t>
      </w:r>
    </w:p>
    <w:p w:rsidR="00647533" w:rsidRPr="00A81AAE" w:rsidRDefault="004719C0" w:rsidP="00647533">
      <w:pPr>
        <w:pStyle w:val="ThesisBodytext1"/>
        <w:rPr>
          <w:rFonts w:asciiTheme="majorHAnsi" w:hAnsiTheme="majorHAnsi"/>
          <w:lang w:val="en-GB"/>
        </w:rPr>
      </w:pPr>
      <w:r w:rsidRPr="00A81AAE">
        <w:rPr>
          <w:rFonts w:asciiTheme="majorHAnsi" w:hAnsiTheme="majorHAnsi"/>
          <w:lang w:val="en-GB"/>
        </w:rPr>
        <w:t>Humanities and Arts;</w:t>
      </w:r>
    </w:p>
    <w:p w:rsidR="00647533" w:rsidRPr="00A81AAE" w:rsidRDefault="00647533" w:rsidP="00647533">
      <w:pPr>
        <w:pStyle w:val="ThesisBodytext1"/>
        <w:rPr>
          <w:rFonts w:asciiTheme="majorHAnsi" w:hAnsiTheme="majorHAnsi"/>
          <w:lang w:val="en-GB"/>
        </w:rPr>
      </w:pPr>
    </w:p>
    <w:p w:rsidR="004719C0" w:rsidRPr="00A81AAE" w:rsidRDefault="004719C0" w:rsidP="004719C0">
      <w:pPr>
        <w:pStyle w:val="ThesisBodytext1"/>
        <w:rPr>
          <w:rFonts w:asciiTheme="majorHAnsi" w:hAnsiTheme="majorHAnsi"/>
          <w:lang w:val="en-GB"/>
        </w:rPr>
      </w:pPr>
      <w:r w:rsidRPr="00A81AAE">
        <w:rPr>
          <w:rFonts w:asciiTheme="majorHAnsi" w:hAnsiTheme="majorHAnsi"/>
          <w:b/>
          <w:lang w:val="en-GB"/>
        </w:rPr>
        <w:t>Ms. Sanjaleen Prasad</w:t>
      </w:r>
      <w:r w:rsidRPr="00A81AAE">
        <w:rPr>
          <w:rFonts w:asciiTheme="majorHAnsi" w:hAnsiTheme="majorHAnsi"/>
          <w:lang w:val="en-GB"/>
        </w:rPr>
        <w:t xml:space="preserve"> – Department of Language, Literature and Communication, School of Humanities and Arts.</w:t>
      </w:r>
    </w:p>
    <w:p w:rsidR="004719C0" w:rsidRPr="00A81AAE" w:rsidRDefault="004719C0" w:rsidP="004719C0">
      <w:pPr>
        <w:rPr>
          <w:rFonts w:cs="Times New Roman"/>
          <w:lang w:val="en-GB"/>
        </w:rPr>
      </w:pPr>
    </w:p>
    <w:p w:rsidR="004719C0" w:rsidRPr="00A81AAE" w:rsidRDefault="004719C0" w:rsidP="004719C0">
      <w:pPr>
        <w:rPr>
          <w:rFonts w:cs="Times New Roman"/>
          <w:lang w:val="en-GB"/>
        </w:rPr>
      </w:pPr>
    </w:p>
    <w:p w:rsidR="004719C0" w:rsidRPr="00A81AAE" w:rsidRDefault="004719C0" w:rsidP="004719C0">
      <w:pPr>
        <w:rPr>
          <w:rFonts w:cs="Times New Roman"/>
          <w:lang w:val="en-GB"/>
        </w:rPr>
      </w:pPr>
    </w:p>
    <w:p w:rsidR="004719C0" w:rsidRPr="00A81AAE" w:rsidRDefault="004719C0" w:rsidP="004719C0">
      <w:pPr>
        <w:rPr>
          <w:rFonts w:cs="Times New Roman"/>
          <w:lang w:val="en-GB"/>
        </w:rPr>
      </w:pPr>
    </w:p>
    <w:p w:rsidR="004719C0" w:rsidRPr="00A81AAE" w:rsidRDefault="004719C0" w:rsidP="004719C0">
      <w:pPr>
        <w:rPr>
          <w:rFonts w:cs="Times New Roman"/>
          <w:lang w:val="en-GB"/>
        </w:rPr>
      </w:pPr>
    </w:p>
    <w:p w:rsidR="004719C0" w:rsidRPr="00A81AAE" w:rsidRDefault="004719C0" w:rsidP="004719C0">
      <w:pPr>
        <w:rPr>
          <w:rFonts w:cs="Times New Roman"/>
          <w:lang w:val="en-GB"/>
        </w:rPr>
      </w:pPr>
    </w:p>
    <w:p w:rsidR="004719C0" w:rsidRPr="00A81AAE" w:rsidRDefault="00647533" w:rsidP="00647533">
      <w:pPr>
        <w:jc w:val="right"/>
        <w:rPr>
          <w:rFonts w:cs="Times New Roman"/>
          <w:lang w:val="en-GB"/>
        </w:rPr>
      </w:pPr>
      <w:r w:rsidRPr="00A81AAE">
        <w:rPr>
          <w:rFonts w:cs="Times New Roman"/>
          <w:lang w:val="en-GB"/>
        </w:rPr>
        <w:lastRenderedPageBreak/>
        <w:t>15/11</w:t>
      </w:r>
      <w:r w:rsidR="004719C0" w:rsidRPr="00A81AAE">
        <w:rPr>
          <w:rFonts w:cs="Times New Roman"/>
          <w:lang w:val="en-GB"/>
        </w:rPr>
        <w:t>/1</w:t>
      </w:r>
      <w:r w:rsidRPr="00A81AAE">
        <w:rPr>
          <w:rFonts w:cs="Times New Roman"/>
          <w:lang w:val="en-GB"/>
        </w:rPr>
        <w:t>7</w:t>
      </w:r>
    </w:p>
    <w:p w:rsidR="004719C0" w:rsidRPr="00A81AAE" w:rsidRDefault="004719C0" w:rsidP="009D589E">
      <w:pPr>
        <w:spacing w:after="0" w:line="360" w:lineRule="auto"/>
        <w:rPr>
          <w:b/>
          <w:sz w:val="28"/>
          <w:szCs w:val="28"/>
          <w:lang w:val="en-GB"/>
        </w:rPr>
      </w:pPr>
      <w:r w:rsidRPr="00A81AAE">
        <w:rPr>
          <w:b/>
          <w:sz w:val="28"/>
          <w:szCs w:val="28"/>
          <w:lang w:val="en-GB"/>
        </w:rPr>
        <w:t>1.0 Introduction</w:t>
      </w:r>
    </w:p>
    <w:p w:rsidR="004719C0" w:rsidRPr="00A81AAE" w:rsidRDefault="004719C0" w:rsidP="009D589E">
      <w:pPr>
        <w:spacing w:after="0" w:line="360" w:lineRule="auto"/>
        <w:rPr>
          <w:b/>
          <w:sz w:val="28"/>
          <w:szCs w:val="28"/>
          <w:lang w:val="en-GB"/>
        </w:rPr>
      </w:pPr>
      <w:r w:rsidRPr="00A81AAE">
        <w:rPr>
          <w:b/>
          <w:sz w:val="28"/>
          <w:szCs w:val="28"/>
          <w:lang w:val="en-GB"/>
        </w:rPr>
        <w:t>1.1 Project Overview</w:t>
      </w:r>
    </w:p>
    <w:p w:rsidR="00AF76FB" w:rsidRPr="00A81AAE" w:rsidRDefault="00AF76FB" w:rsidP="009D589E">
      <w:pPr>
        <w:spacing w:after="0" w:line="360" w:lineRule="auto"/>
        <w:rPr>
          <w:lang w:val="en-GB"/>
        </w:rPr>
      </w:pPr>
      <w:r w:rsidRPr="00A81AAE">
        <w:rPr>
          <w:lang w:val="en-GB"/>
        </w:rPr>
        <w:t>With the introduction of formal education for Indian children in 1926, Fiji's language planning has favoured Standard Hindi over Fiji Hindi, in the education system, despite Fiji Hindi's status as the native language of the vast majority of Fijians of Indian descent (FID). FIDs' have disapproved of the use of Fiji Hindi in the education system historically, but since the 2013 constitution, Fiji Hindi has expanded its scope of use in Fijian classrooms. This study uses survey data from Fijian citizens in 2018 to assess whether opinions towards Fiji Hindi and its use in the Fijian education system have changed, and if so, why. In this research, we first detail the current linguistic situation in Fiji and the state of the education system and language education policy here, including recent pro-Fiji Hindi shifts. We then use survey data received from native FID participants to assess attitudes toward Fiji Hindi and its use in the education system, along with reasons for FIDs’ support for Fiji Hindi or lack thereof. Our research concludes by analyzing the broader context of this Fijian case study, explicating the benefits of mother tongue language education. The case of Fiji provides an example of a country that, with further understanding of the cognitive and academic advantages of mother tongue language education, may be on the brink of promoting one of its vernacular languages in the education system to greater benefit Fijian students.</w:t>
      </w:r>
    </w:p>
    <w:p w:rsidR="009D589E" w:rsidRPr="00A81AAE" w:rsidRDefault="009D589E" w:rsidP="009D589E">
      <w:pPr>
        <w:spacing w:after="0" w:line="360" w:lineRule="auto"/>
        <w:rPr>
          <w:lang w:val="en-GB"/>
        </w:rPr>
      </w:pPr>
    </w:p>
    <w:p w:rsidR="004719C0" w:rsidRPr="00A81AAE" w:rsidRDefault="004719C0" w:rsidP="009D589E">
      <w:pPr>
        <w:spacing w:after="0" w:line="360" w:lineRule="auto"/>
        <w:rPr>
          <w:b/>
          <w:sz w:val="28"/>
          <w:szCs w:val="28"/>
          <w:lang w:val="en-GB"/>
        </w:rPr>
      </w:pPr>
      <w:r w:rsidRPr="00A81AAE">
        <w:rPr>
          <w:b/>
          <w:sz w:val="28"/>
          <w:szCs w:val="28"/>
          <w:lang w:val="en-GB"/>
        </w:rPr>
        <w:t>1.2 Research Background</w:t>
      </w:r>
    </w:p>
    <w:p w:rsidR="00AF76FB" w:rsidRPr="00A81AAE" w:rsidRDefault="004719C0" w:rsidP="009D589E">
      <w:pPr>
        <w:spacing w:after="0" w:line="360" w:lineRule="auto"/>
        <w:rPr>
          <w:lang w:val="en-GB"/>
        </w:rPr>
      </w:pPr>
      <w:r w:rsidRPr="00A81AAE">
        <w:rPr>
          <w:lang w:val="en-GB"/>
        </w:rPr>
        <w:t xml:space="preserve">The Fijian Ministry of Education has taken a </w:t>
      </w:r>
      <w:r w:rsidR="00AF76FB" w:rsidRPr="00A81AAE">
        <w:rPr>
          <w:lang w:val="en-GB"/>
        </w:rPr>
        <w:t xml:space="preserve">remarkable </w:t>
      </w:r>
      <w:r w:rsidRPr="00A81AAE">
        <w:rPr>
          <w:lang w:val="en-GB"/>
        </w:rPr>
        <w:t xml:space="preserve">initiative to </w:t>
      </w:r>
      <w:r w:rsidR="00AF76FB" w:rsidRPr="00A81AAE">
        <w:rPr>
          <w:lang w:val="en-GB"/>
        </w:rPr>
        <w:t xml:space="preserve">teach Conversational Fiji Hindi to iTaukei students. According to the Fiji Government Online Portal, </w:t>
      </w:r>
      <w:r w:rsidRPr="00A81AAE">
        <w:rPr>
          <w:lang w:val="en-GB"/>
        </w:rPr>
        <w:t xml:space="preserve">the </w:t>
      </w:r>
      <w:r w:rsidR="00AF76FB" w:rsidRPr="00A81AAE">
        <w:rPr>
          <w:lang w:val="en-GB"/>
        </w:rPr>
        <w:t xml:space="preserve">then </w:t>
      </w:r>
      <w:r w:rsidR="009D589E" w:rsidRPr="00A81AAE">
        <w:rPr>
          <w:lang w:val="en-GB"/>
        </w:rPr>
        <w:t>Honourable</w:t>
      </w:r>
      <w:r w:rsidR="00AF76FB" w:rsidRPr="00A81AAE">
        <w:rPr>
          <w:lang w:val="en-GB"/>
        </w:rPr>
        <w:t xml:space="preserve"> Minister for Education, National Heritage, Culture, Arts and Library Services Filipe Bole announced on 22 January 2014 that Vosa Vakaviti and Fiji Hindi be taught under the conversational language programme in all primary schools.</w:t>
      </w:r>
      <w:r w:rsidR="00200536" w:rsidRPr="00A81AAE">
        <w:rPr>
          <w:lang w:val="en-GB"/>
        </w:rPr>
        <w:t xml:space="preserve"> This announcement </w:t>
      </w:r>
      <w:proofErr w:type="gramStart"/>
      <w:r w:rsidR="00200536" w:rsidRPr="00A81AAE">
        <w:rPr>
          <w:lang w:val="en-GB"/>
        </w:rPr>
        <w:t>fulfils  Section</w:t>
      </w:r>
      <w:proofErr w:type="gramEnd"/>
      <w:r w:rsidR="00200536" w:rsidRPr="00A81AAE">
        <w:rPr>
          <w:lang w:val="en-GB"/>
        </w:rPr>
        <w:t xml:space="preserve"> 31 (3) of the Constitution of the Republic of Fiji which envisions a future where students understand and speak each other's languages in a multicultural setting. Following this, the Ministry's Curriculum Development Unit embarked on preparing resources for the teaching and learning of the two languages. However, there are groups in the Hindi-speaking community </w:t>
      </w:r>
      <w:r w:rsidR="00200536" w:rsidRPr="00A81AAE">
        <w:rPr>
          <w:lang w:val="en-GB"/>
        </w:rPr>
        <w:lastRenderedPageBreak/>
        <w:t>who oppose the idea of teaching Fiji Hindi</w:t>
      </w:r>
      <w:r w:rsidR="00A81AAE" w:rsidRPr="00A81AAE">
        <w:rPr>
          <w:lang w:val="en-GB"/>
        </w:rPr>
        <w:t xml:space="preserve"> in the education system</w:t>
      </w:r>
      <w:r w:rsidR="00200536" w:rsidRPr="00A81AAE">
        <w:rPr>
          <w:lang w:val="en-GB"/>
        </w:rPr>
        <w:t>, often regarded as a corrupted and 'bastardised' version of Standard Hindi.</w:t>
      </w:r>
    </w:p>
    <w:p w:rsidR="009D589E" w:rsidRPr="00A81AAE" w:rsidRDefault="009D589E" w:rsidP="009D589E">
      <w:pPr>
        <w:spacing w:after="0" w:line="360" w:lineRule="auto"/>
        <w:rPr>
          <w:lang w:val="en-GB"/>
        </w:rPr>
      </w:pPr>
    </w:p>
    <w:p w:rsidR="004719C0" w:rsidRPr="00A81AAE" w:rsidRDefault="004719C0" w:rsidP="009D589E">
      <w:pPr>
        <w:spacing w:after="0" w:line="360" w:lineRule="auto"/>
        <w:rPr>
          <w:lang w:val="en-GB"/>
        </w:rPr>
      </w:pPr>
      <w:r w:rsidRPr="00A81AAE">
        <w:rPr>
          <w:b/>
          <w:sz w:val="28"/>
          <w:szCs w:val="28"/>
          <w:lang w:val="en-GB"/>
        </w:rPr>
        <w:t>2.0 Literature Review</w:t>
      </w:r>
    </w:p>
    <w:p w:rsidR="0028485D" w:rsidRPr="00A81AAE" w:rsidRDefault="0028485D" w:rsidP="0028485D">
      <w:pPr>
        <w:autoSpaceDE w:val="0"/>
        <w:autoSpaceDN w:val="0"/>
        <w:adjustRightInd w:val="0"/>
        <w:spacing w:after="0" w:line="360" w:lineRule="auto"/>
        <w:rPr>
          <w:rFonts w:cs="Times New Roman"/>
        </w:rPr>
      </w:pPr>
      <w:r w:rsidRPr="00A81AAE">
        <w:rPr>
          <w:rFonts w:cs="Times New Roman"/>
        </w:rPr>
        <w:t>Regrettably, literature is scarce on the teaching and learning of Fiji Hindi in the Fijian education system. This study is the first of its kind. Most of the literature available deals with either education in general or other aspects of education.</w:t>
      </w:r>
    </w:p>
    <w:p w:rsidR="0028485D" w:rsidRPr="00A81AAE" w:rsidRDefault="0028485D" w:rsidP="0028485D">
      <w:pPr>
        <w:autoSpaceDE w:val="0"/>
        <w:autoSpaceDN w:val="0"/>
        <w:adjustRightInd w:val="0"/>
        <w:spacing w:after="0" w:line="360" w:lineRule="auto"/>
        <w:rPr>
          <w:rFonts w:cs="Times New Roman"/>
        </w:rPr>
      </w:pPr>
    </w:p>
    <w:p w:rsidR="0028485D" w:rsidRPr="00A81AAE" w:rsidRDefault="0028485D" w:rsidP="0028485D">
      <w:pPr>
        <w:autoSpaceDE w:val="0"/>
        <w:autoSpaceDN w:val="0"/>
        <w:adjustRightInd w:val="0"/>
        <w:spacing w:after="0" w:line="360" w:lineRule="auto"/>
        <w:rPr>
          <w:rFonts w:cs="Times New Roman"/>
        </w:rPr>
      </w:pPr>
      <w:r w:rsidRPr="00A81AAE">
        <w:rPr>
          <w:rFonts w:cs="Times New Roman"/>
        </w:rPr>
        <w:t xml:space="preserve">With the arrival of the Indians under the British indenture system from 1879-1916, </w:t>
      </w:r>
      <w:r w:rsidR="00A81AAE">
        <w:rPr>
          <w:rFonts w:cs="Times New Roman"/>
        </w:rPr>
        <w:t xml:space="preserve">Fiji </w:t>
      </w:r>
      <w:r w:rsidRPr="00A81AAE">
        <w:rPr>
          <w:rFonts w:cs="Times New Roman"/>
        </w:rPr>
        <w:t xml:space="preserve">Hindi </w:t>
      </w:r>
      <w:r w:rsidR="00A81AAE">
        <w:rPr>
          <w:rFonts w:cs="Times New Roman"/>
        </w:rPr>
        <w:t>developed in F</w:t>
      </w:r>
      <w:r w:rsidRPr="00A81AAE">
        <w:rPr>
          <w:rFonts w:cs="Times New Roman"/>
        </w:rPr>
        <w:t xml:space="preserve">iji. Prior to 1916, due to lack of initiative by the then Colonial Administration, there was no provision for the education of Indian children let alone </w:t>
      </w:r>
      <w:r w:rsidR="00A81AAE">
        <w:rPr>
          <w:rFonts w:cs="Times New Roman"/>
        </w:rPr>
        <w:t>Fiji Hindi</w:t>
      </w:r>
      <w:r w:rsidRPr="00A81AAE">
        <w:rPr>
          <w:rFonts w:cs="Times New Roman"/>
        </w:rPr>
        <w:t xml:space="preserve"> (Burton, 1910; </w:t>
      </w:r>
      <w:proofErr w:type="spellStart"/>
      <w:r w:rsidRPr="00A81AAE">
        <w:rPr>
          <w:rFonts w:cs="Times New Roman"/>
        </w:rPr>
        <w:t>Sanadhya</w:t>
      </w:r>
      <w:proofErr w:type="spellEnd"/>
      <w:r w:rsidRPr="00A81AAE">
        <w:rPr>
          <w:rFonts w:cs="Times New Roman"/>
        </w:rPr>
        <w:t xml:space="preserve">, 1914, Mayer, 1963 and Lal, 1998). However, when communal feelings dictated a vernacular education, it impelled Indian parents to </w:t>
      </w:r>
      <w:proofErr w:type="spellStart"/>
      <w:r w:rsidRPr="00A81AAE">
        <w:rPr>
          <w:rFonts w:cs="Times New Roman"/>
        </w:rPr>
        <w:t>organise</w:t>
      </w:r>
      <w:proofErr w:type="spellEnd"/>
      <w:r w:rsidRPr="00A81AAE">
        <w:rPr>
          <w:rFonts w:cs="Times New Roman"/>
        </w:rPr>
        <w:t xml:space="preserve"> makeshift schools in their humble villages. In his book </w:t>
      </w:r>
      <w:proofErr w:type="spellStart"/>
      <w:r w:rsidRPr="00A81AAE">
        <w:rPr>
          <w:rFonts w:cs="Times New Roman"/>
          <w:i/>
        </w:rPr>
        <w:t>Gulaami</w:t>
      </w:r>
      <w:proofErr w:type="spellEnd"/>
      <w:r w:rsidRPr="00A81AAE">
        <w:rPr>
          <w:rFonts w:cs="Times New Roman"/>
          <w:i/>
        </w:rPr>
        <w:t xml:space="preserve"> </w:t>
      </w:r>
      <w:r w:rsidRPr="00A81AAE">
        <w:rPr>
          <w:rFonts w:cs="Times New Roman"/>
        </w:rPr>
        <w:t xml:space="preserve">Sharma (2010) reminisces his uncle’s classroom which “was located in the centre of the village and classes were held under the large Banyan tree” (p. 35). They were taught </w:t>
      </w:r>
      <w:r w:rsidR="00A81AAE">
        <w:rPr>
          <w:rFonts w:cs="Times New Roman"/>
        </w:rPr>
        <w:t xml:space="preserve">Standard </w:t>
      </w:r>
      <w:r w:rsidRPr="00A81AAE">
        <w:rPr>
          <w:rFonts w:cs="Times New Roman"/>
        </w:rPr>
        <w:t xml:space="preserve">Hindi and Sanskrit. Mayer (1963) remarked that “in 1909 the report of an Education Commission stated that facilities for Indians compared </w:t>
      </w:r>
      <w:proofErr w:type="spellStart"/>
      <w:r w:rsidRPr="00A81AAE">
        <w:rPr>
          <w:rFonts w:cs="Times New Roman"/>
        </w:rPr>
        <w:t>unfavourably</w:t>
      </w:r>
      <w:proofErr w:type="spellEnd"/>
      <w:r w:rsidRPr="00A81AAE">
        <w:rPr>
          <w:rFonts w:cs="Times New Roman"/>
        </w:rPr>
        <w:t xml:space="preserve"> with those for other communities” (p. 30) and it was only after the establishment of a Board of Education in 1916 that schools for Indians grew </w:t>
      </w:r>
      <w:proofErr w:type="gramStart"/>
      <w:r w:rsidRPr="00A81AAE">
        <w:rPr>
          <w:rFonts w:cs="Times New Roman"/>
        </w:rPr>
        <w:t>considerably  (</w:t>
      </w:r>
      <w:proofErr w:type="gramEnd"/>
      <w:r w:rsidRPr="00A81AAE">
        <w:rPr>
          <w:rFonts w:cs="Times New Roman"/>
        </w:rPr>
        <w:t>p. 44).</w:t>
      </w:r>
    </w:p>
    <w:p w:rsidR="0028485D" w:rsidRPr="00A81AAE" w:rsidRDefault="0028485D" w:rsidP="0028485D">
      <w:pPr>
        <w:autoSpaceDE w:val="0"/>
        <w:autoSpaceDN w:val="0"/>
        <w:adjustRightInd w:val="0"/>
        <w:spacing w:after="0" w:line="360" w:lineRule="auto"/>
        <w:rPr>
          <w:rFonts w:cs="Times New Roman"/>
        </w:rPr>
      </w:pPr>
    </w:p>
    <w:p w:rsidR="0028485D" w:rsidRPr="00A81AAE" w:rsidRDefault="0028485D" w:rsidP="0028485D">
      <w:pPr>
        <w:autoSpaceDE w:val="0"/>
        <w:autoSpaceDN w:val="0"/>
        <w:adjustRightInd w:val="0"/>
        <w:spacing w:after="0" w:line="360" w:lineRule="auto"/>
        <w:rPr>
          <w:rFonts w:cs="Times New Roman"/>
        </w:rPr>
      </w:pPr>
      <w:r w:rsidRPr="00A81AAE">
        <w:rPr>
          <w:rFonts w:cs="Times New Roman"/>
        </w:rPr>
        <w:t xml:space="preserve">Gurukul Primary School, built in </w:t>
      </w:r>
      <w:proofErr w:type="spellStart"/>
      <w:r w:rsidRPr="00A81AAE">
        <w:rPr>
          <w:rFonts w:cs="Times New Roman"/>
        </w:rPr>
        <w:t>Lautoka</w:t>
      </w:r>
      <w:proofErr w:type="spellEnd"/>
      <w:r w:rsidRPr="00A81AAE">
        <w:rPr>
          <w:rFonts w:cs="Times New Roman"/>
        </w:rPr>
        <w:t xml:space="preserve"> in 1918, pioneered Indian education and became the first substantive school to begin </w:t>
      </w:r>
      <w:r w:rsidR="00A81AAE">
        <w:rPr>
          <w:rFonts w:cs="Times New Roman"/>
        </w:rPr>
        <w:t>teaching Standard Hindi</w:t>
      </w:r>
      <w:r w:rsidRPr="00A81AAE">
        <w:rPr>
          <w:rFonts w:cs="Times New Roman"/>
        </w:rPr>
        <w:t xml:space="preserve"> (</w:t>
      </w:r>
      <w:proofErr w:type="spellStart"/>
      <w:r w:rsidRPr="00A81AAE">
        <w:rPr>
          <w:rFonts w:cs="Times New Roman"/>
        </w:rPr>
        <w:t>Vedalankar</w:t>
      </w:r>
      <w:proofErr w:type="spellEnd"/>
      <w:r w:rsidRPr="00A81AAE">
        <w:rPr>
          <w:rFonts w:cs="Times New Roman"/>
        </w:rPr>
        <w:t xml:space="preserve"> and </w:t>
      </w:r>
      <w:proofErr w:type="spellStart"/>
      <w:r w:rsidRPr="00A81AAE">
        <w:rPr>
          <w:rFonts w:cs="Times New Roman"/>
        </w:rPr>
        <w:t>Somera</w:t>
      </w:r>
      <w:proofErr w:type="spellEnd"/>
      <w:r w:rsidRPr="00A81AAE">
        <w:rPr>
          <w:rFonts w:cs="Times New Roman"/>
        </w:rPr>
        <w:t xml:space="preserve">, 1975, p. 129-130). In May 1920, </w:t>
      </w:r>
      <w:proofErr w:type="spellStart"/>
      <w:r w:rsidRPr="00A81AAE">
        <w:rPr>
          <w:rFonts w:cs="Times New Roman"/>
        </w:rPr>
        <w:t>Sadhu</w:t>
      </w:r>
      <w:proofErr w:type="spellEnd"/>
      <w:r w:rsidRPr="00A81AAE">
        <w:rPr>
          <w:rFonts w:cs="Times New Roman"/>
        </w:rPr>
        <w:t xml:space="preserve"> </w:t>
      </w:r>
      <w:proofErr w:type="spellStart"/>
      <w:r w:rsidRPr="00A81AAE">
        <w:rPr>
          <w:rFonts w:cs="Times New Roman"/>
        </w:rPr>
        <w:t>Vashist</w:t>
      </w:r>
      <w:proofErr w:type="spellEnd"/>
      <w:r w:rsidRPr="00A81AAE">
        <w:rPr>
          <w:rFonts w:cs="Times New Roman"/>
        </w:rPr>
        <w:t xml:space="preserve"> Muni came to Fiji and established a big school in a </w:t>
      </w:r>
      <w:proofErr w:type="spellStart"/>
      <w:r w:rsidRPr="00A81AAE">
        <w:rPr>
          <w:rFonts w:cs="Times New Roman"/>
          <w:i/>
        </w:rPr>
        <w:t>bure</w:t>
      </w:r>
      <w:proofErr w:type="spellEnd"/>
      <w:r w:rsidRPr="00A81AAE">
        <w:rPr>
          <w:rFonts w:cs="Times New Roman"/>
        </w:rPr>
        <w:t xml:space="preserve"> house in </w:t>
      </w:r>
      <w:proofErr w:type="spellStart"/>
      <w:r w:rsidRPr="00A81AAE">
        <w:rPr>
          <w:rFonts w:cs="Times New Roman"/>
        </w:rPr>
        <w:t>Navua</w:t>
      </w:r>
      <w:proofErr w:type="spellEnd"/>
      <w:r w:rsidRPr="00A81AAE">
        <w:rPr>
          <w:rFonts w:cs="Times New Roman"/>
        </w:rPr>
        <w:t xml:space="preserve"> where about a hundred children started learning </w:t>
      </w:r>
      <w:r w:rsidR="00A81AAE">
        <w:rPr>
          <w:rFonts w:cs="Times New Roman"/>
        </w:rPr>
        <w:t xml:space="preserve">Standard </w:t>
      </w:r>
      <w:r w:rsidRPr="00A81AAE">
        <w:rPr>
          <w:rFonts w:cs="Times New Roman"/>
        </w:rPr>
        <w:t>Hindi (</w:t>
      </w:r>
      <w:proofErr w:type="spellStart"/>
      <w:r w:rsidRPr="00A81AAE">
        <w:rPr>
          <w:rFonts w:cs="Times New Roman"/>
        </w:rPr>
        <w:t>Kanwal</w:t>
      </w:r>
      <w:proofErr w:type="spellEnd"/>
      <w:r w:rsidRPr="00A81AAE">
        <w:rPr>
          <w:rFonts w:cs="Times New Roman"/>
        </w:rPr>
        <w:t xml:space="preserve">, 1980). In the late twenties and early thirties, a new enthusiasm about the teaching of vernaculars was infused in the minds of the children. Coulter (1942), Mayer (1963) and </w:t>
      </w:r>
      <w:proofErr w:type="spellStart"/>
      <w:r w:rsidRPr="00A81AAE">
        <w:rPr>
          <w:rFonts w:cs="Times New Roman"/>
        </w:rPr>
        <w:t>Gillion</w:t>
      </w:r>
      <w:proofErr w:type="spellEnd"/>
      <w:r w:rsidRPr="00A81AAE">
        <w:rPr>
          <w:rFonts w:cs="Times New Roman"/>
        </w:rPr>
        <w:t xml:space="preserve"> (1977) noted that in 1926 the second Education Commission was appointed and its recommendation to make </w:t>
      </w:r>
      <w:r w:rsidR="00A81AAE">
        <w:rPr>
          <w:rFonts w:cs="Times New Roman"/>
        </w:rPr>
        <w:t xml:space="preserve">Standard </w:t>
      </w:r>
      <w:r w:rsidRPr="00A81AAE">
        <w:rPr>
          <w:rFonts w:cs="Times New Roman"/>
        </w:rPr>
        <w:t xml:space="preserve">Hindi the medium of instruction in the early stages of primary schools was made effective in 1929 through an Education Ordinance. By 1951, </w:t>
      </w:r>
      <w:r w:rsidR="00A81AAE">
        <w:rPr>
          <w:rFonts w:cs="Times New Roman"/>
        </w:rPr>
        <w:t xml:space="preserve">Standard </w:t>
      </w:r>
      <w:r w:rsidRPr="00A81AAE">
        <w:rPr>
          <w:rFonts w:cs="Times New Roman"/>
        </w:rPr>
        <w:t xml:space="preserve">Hindi was the language of instruction in all schools run by Indian committees until the </w:t>
      </w:r>
      <w:r w:rsidRPr="00A81AAE">
        <w:rPr>
          <w:rFonts w:cs="Times New Roman"/>
        </w:rPr>
        <w:lastRenderedPageBreak/>
        <w:t xml:space="preserve">fifth standard, after which English replaced it (Mayer, 1961, p. 105). In 1969 another Education Commission produced a comprehensive report which covered language studies at primary and secondary levels. It recommended that </w:t>
      </w:r>
      <w:r w:rsidR="00A81AAE">
        <w:rPr>
          <w:rFonts w:cs="Times New Roman"/>
        </w:rPr>
        <w:t xml:space="preserve">Standard </w:t>
      </w:r>
      <w:r w:rsidRPr="00A81AAE">
        <w:rPr>
          <w:rFonts w:cs="Times New Roman"/>
        </w:rPr>
        <w:t xml:space="preserve">Hindi be the medium of instruction for the first three years in all primary schools for Indians but with provision for the continued study of </w:t>
      </w:r>
      <w:r w:rsidR="00A81AAE">
        <w:rPr>
          <w:rFonts w:cs="Times New Roman"/>
        </w:rPr>
        <w:t xml:space="preserve">Standard </w:t>
      </w:r>
      <w:r w:rsidRPr="00A81AAE">
        <w:rPr>
          <w:rFonts w:cs="Times New Roman"/>
        </w:rPr>
        <w:t xml:space="preserve">Hindi in both primary and secondary schools (p. 28). </w:t>
      </w:r>
      <w:r w:rsidRPr="00A81AAE">
        <w:rPr>
          <w:rFonts w:eastAsia="Times New Roman" w:cs="Times New Roman"/>
          <w:lang w:eastAsia="en-GB"/>
        </w:rPr>
        <w:t>After Independence in 1970, t</w:t>
      </w:r>
      <w:r w:rsidRPr="00A81AAE">
        <w:rPr>
          <w:rFonts w:cs="Times New Roman"/>
        </w:rPr>
        <w:t xml:space="preserve">he </w:t>
      </w:r>
      <w:r w:rsidR="00A81AAE">
        <w:rPr>
          <w:rFonts w:cs="Times New Roman"/>
        </w:rPr>
        <w:t xml:space="preserve">Standard </w:t>
      </w:r>
      <w:r w:rsidRPr="00A81AAE">
        <w:rPr>
          <w:rFonts w:cs="Times New Roman"/>
        </w:rPr>
        <w:t xml:space="preserve">Hindi curriculum was </w:t>
      </w:r>
      <w:proofErr w:type="spellStart"/>
      <w:r w:rsidRPr="00A81AAE">
        <w:rPr>
          <w:rFonts w:cs="Times New Roman"/>
        </w:rPr>
        <w:t>organised</w:t>
      </w:r>
      <w:proofErr w:type="spellEnd"/>
      <w:r w:rsidRPr="00A81AAE">
        <w:rPr>
          <w:rFonts w:cs="Times New Roman"/>
        </w:rPr>
        <w:t xml:space="preserve"> in more systematic ways, lessons taught on scientific lines, textbooks for primary schools written and printed locally (</w:t>
      </w:r>
      <w:proofErr w:type="spellStart"/>
      <w:r w:rsidRPr="00A81AAE">
        <w:rPr>
          <w:rFonts w:cs="Times New Roman"/>
        </w:rPr>
        <w:t>Kanwal</w:t>
      </w:r>
      <w:proofErr w:type="spellEnd"/>
      <w:r w:rsidRPr="00A81AAE">
        <w:rPr>
          <w:rFonts w:cs="Times New Roman"/>
        </w:rPr>
        <w:t xml:space="preserve">, 1980). </w:t>
      </w:r>
    </w:p>
    <w:p w:rsidR="0028485D" w:rsidRPr="00A81AAE" w:rsidRDefault="0028485D" w:rsidP="0028485D">
      <w:pPr>
        <w:autoSpaceDE w:val="0"/>
        <w:autoSpaceDN w:val="0"/>
        <w:adjustRightInd w:val="0"/>
        <w:spacing w:after="0" w:line="360" w:lineRule="auto"/>
        <w:rPr>
          <w:rFonts w:cs="Times New Roman"/>
        </w:rPr>
      </w:pPr>
    </w:p>
    <w:p w:rsidR="0028485D" w:rsidRPr="00A81AAE" w:rsidRDefault="0028485D" w:rsidP="0028485D">
      <w:pPr>
        <w:spacing w:after="0" w:line="360" w:lineRule="auto"/>
        <w:rPr>
          <w:rFonts w:cs="Times New Roman"/>
          <w:b/>
        </w:rPr>
      </w:pPr>
      <w:r w:rsidRPr="00A81AAE">
        <w:rPr>
          <w:rFonts w:eastAsia="Times New Roman" w:cs="Times New Roman"/>
          <w:lang w:eastAsia="en-GB"/>
        </w:rPr>
        <w:t>T</w:t>
      </w:r>
      <w:r w:rsidRPr="00A81AAE">
        <w:rPr>
          <w:rFonts w:cs="Times New Roman"/>
        </w:rPr>
        <w:t xml:space="preserve">he Fiji Islands National Curriculum Framework 2007 (NCF) </w:t>
      </w:r>
      <w:proofErr w:type="spellStart"/>
      <w:r w:rsidRPr="00A81AAE">
        <w:rPr>
          <w:rFonts w:cs="Times New Roman"/>
        </w:rPr>
        <w:t>emphasised</w:t>
      </w:r>
      <w:proofErr w:type="spellEnd"/>
      <w:r w:rsidRPr="00A81AAE">
        <w:rPr>
          <w:rFonts w:cs="Times New Roman"/>
        </w:rPr>
        <w:t xml:space="preserve"> the importance of teaching </w:t>
      </w:r>
      <w:r w:rsidR="00A81AAE">
        <w:rPr>
          <w:rFonts w:cs="Times New Roman"/>
        </w:rPr>
        <w:t xml:space="preserve">Standard </w:t>
      </w:r>
      <w:r w:rsidRPr="00A81AAE">
        <w:rPr>
          <w:rFonts w:cs="Times New Roman"/>
        </w:rPr>
        <w:t xml:space="preserve">Hindi in the school curriculum (p. 34). The Roadmap for Democracy and Sustainable Socio-Economic Development 2010-2014 (RDSSED) echoed the same sentiments advocating for a curriculum framework that would strengthen instruction in </w:t>
      </w:r>
      <w:r w:rsidR="00A81AAE">
        <w:rPr>
          <w:rFonts w:cs="Times New Roman"/>
        </w:rPr>
        <w:t xml:space="preserve">Standard </w:t>
      </w:r>
      <w:r w:rsidRPr="00A81AAE">
        <w:rPr>
          <w:rFonts w:cs="Times New Roman"/>
        </w:rPr>
        <w:t xml:space="preserve">Hindi. The key indicator of this was that “all schools to </w:t>
      </w:r>
      <w:proofErr w:type="spellStart"/>
      <w:r w:rsidRPr="00A81AAE">
        <w:rPr>
          <w:rFonts w:cs="Times New Roman"/>
        </w:rPr>
        <w:t>emphasise</w:t>
      </w:r>
      <w:proofErr w:type="spellEnd"/>
      <w:r w:rsidRPr="00A81AAE">
        <w:rPr>
          <w:rFonts w:cs="Times New Roman"/>
        </w:rPr>
        <w:t xml:space="preserve"> study of various languages by 2012” (RDSSED, 2009, p. 131). The Ministry of Education, National Heritage, Culture and Arts (MOENHCA) in its 2013 Annual Corporate Plan which was linked to the RDSSED 2010-2014 indicated under sub-outputs 3.6 and 4.6 that it would implement a compulsory beginners conversational programme in Classes 6-8 and Form(s) 3-7 by December 2013 (MOENHCA 2013 Annual Corporate Plan, pp. 6-24). In a press release issued in January 2014, the Fijian government directed that “the two vernaculars </w:t>
      </w:r>
      <w:proofErr w:type="gramStart"/>
      <w:r w:rsidRPr="00A81AAE">
        <w:rPr>
          <w:rFonts w:cs="Times New Roman"/>
        </w:rPr>
        <w:t>be</w:t>
      </w:r>
      <w:proofErr w:type="gramEnd"/>
      <w:r w:rsidRPr="00A81AAE">
        <w:rPr>
          <w:rFonts w:cs="Times New Roman"/>
        </w:rPr>
        <w:t xml:space="preserve"> taught as compulsory subjects and that the conversational programme is to be implemented in all primary schools” (Fiji Government Online Portal, 2014). This fulfils Section 31 (3) of the Constitution of the Republic of Fiji which states that “Conversational and contemporary </w:t>
      </w:r>
      <w:proofErr w:type="spellStart"/>
      <w:r w:rsidRPr="00A81AAE">
        <w:rPr>
          <w:rFonts w:cs="Times New Roman"/>
        </w:rPr>
        <w:t>iTaukei</w:t>
      </w:r>
      <w:proofErr w:type="spellEnd"/>
      <w:r w:rsidRPr="00A81AAE">
        <w:rPr>
          <w:rFonts w:cs="Times New Roman"/>
        </w:rPr>
        <w:t xml:space="preserve"> and Fiji Hindi languages be taught as compulsory subjects in all primary schools” (Constitution of the Republic of Fiji 2013). </w:t>
      </w:r>
    </w:p>
    <w:p w:rsidR="0028485D" w:rsidRPr="00A81AAE" w:rsidRDefault="0028485D" w:rsidP="0028485D">
      <w:pPr>
        <w:spacing w:after="0" w:line="360" w:lineRule="auto"/>
        <w:rPr>
          <w:rFonts w:cs="Times New Roman"/>
        </w:rPr>
      </w:pPr>
    </w:p>
    <w:p w:rsidR="00E40ECD" w:rsidRPr="00A81AAE" w:rsidRDefault="00024466" w:rsidP="00E40ECD">
      <w:pPr>
        <w:spacing w:after="0" w:line="360" w:lineRule="auto"/>
        <w:rPr>
          <w:b/>
          <w:sz w:val="28"/>
          <w:szCs w:val="28"/>
          <w:lang w:val="en-GB"/>
        </w:rPr>
      </w:pPr>
      <w:r w:rsidRPr="00A81AAE">
        <w:rPr>
          <w:b/>
          <w:sz w:val="28"/>
          <w:szCs w:val="28"/>
          <w:lang w:val="en-GB"/>
        </w:rPr>
        <w:t>3.0 Significance</w:t>
      </w:r>
      <w:r w:rsidR="004719C0" w:rsidRPr="00A81AAE">
        <w:rPr>
          <w:b/>
          <w:sz w:val="28"/>
          <w:szCs w:val="28"/>
          <w:lang w:val="en-GB"/>
        </w:rPr>
        <w:t xml:space="preserve"> of this Study</w:t>
      </w:r>
    </w:p>
    <w:p w:rsidR="00E40ECD" w:rsidRDefault="00E40ECD" w:rsidP="00E40ECD">
      <w:pPr>
        <w:spacing w:after="0" w:line="360" w:lineRule="auto"/>
        <w:rPr>
          <w:rFonts w:cs="Times New Roman"/>
        </w:rPr>
      </w:pPr>
      <w:r w:rsidRPr="00A81AAE">
        <w:rPr>
          <w:rFonts w:cs="Times New Roman"/>
        </w:rPr>
        <w:t>This study has both practical and theoretical significance. Findings of this research will provide empirical evidence and challenges to educational stakeholders responsible for the teaching and learning of Fiji Hindi, in the hope that it will stimulate them to further investigate the challenges associated with Fiji Hindi in the education system.</w:t>
      </w:r>
    </w:p>
    <w:p w:rsidR="00A81AAE" w:rsidRPr="00A81AAE" w:rsidRDefault="00A81AAE" w:rsidP="00E40ECD">
      <w:pPr>
        <w:spacing w:after="0" w:line="360" w:lineRule="auto"/>
        <w:rPr>
          <w:rFonts w:cs="Times New Roman"/>
        </w:rPr>
      </w:pPr>
    </w:p>
    <w:p w:rsidR="00E40ECD" w:rsidRPr="00A81AAE" w:rsidRDefault="00E40ECD" w:rsidP="00E40ECD">
      <w:pPr>
        <w:spacing w:after="0" w:line="360" w:lineRule="auto"/>
        <w:rPr>
          <w:rFonts w:cs="Times New Roman"/>
        </w:rPr>
      </w:pPr>
      <w:r w:rsidRPr="00A81AAE">
        <w:rPr>
          <w:rFonts w:eastAsia="Times New Roman" w:cs="Times New Roman"/>
          <w:lang w:eastAsia="en-GB"/>
        </w:rPr>
        <w:lastRenderedPageBreak/>
        <w:t xml:space="preserve">This study is </w:t>
      </w:r>
      <w:r w:rsidRPr="00A81AAE">
        <w:rPr>
          <w:rFonts w:cs="Times New Roman"/>
        </w:rPr>
        <w:t>original and attempts to make a substantial contribution to language education in the Fijian education system. We are hopeful that this study will not only indicate the trend that Fiji Hindi should take in the near future but will also give direction as to how curriculum developers could invigorate Fiji Hindi in the education system.</w:t>
      </w:r>
    </w:p>
    <w:p w:rsidR="00E40ECD" w:rsidRPr="00A81AAE" w:rsidRDefault="00E40ECD" w:rsidP="00E40ECD">
      <w:pPr>
        <w:spacing w:after="0" w:line="360" w:lineRule="auto"/>
        <w:rPr>
          <w:rFonts w:cs="Times New Roman"/>
        </w:rPr>
      </w:pPr>
    </w:p>
    <w:p w:rsidR="001572DE" w:rsidRPr="00A81AAE" w:rsidRDefault="00E40ECD" w:rsidP="009D589E">
      <w:pPr>
        <w:spacing w:after="0" w:line="360" w:lineRule="auto"/>
        <w:rPr>
          <w:lang w:val="en-GB"/>
        </w:rPr>
      </w:pPr>
      <w:r w:rsidRPr="00A81AAE">
        <w:rPr>
          <w:lang w:val="en-GB"/>
        </w:rPr>
        <w:t>This</w:t>
      </w:r>
      <w:r w:rsidR="001572DE" w:rsidRPr="00A81AAE">
        <w:rPr>
          <w:lang w:val="en-GB"/>
        </w:rPr>
        <w:t xml:space="preserve"> research will present an</w:t>
      </w:r>
      <w:r w:rsidR="0001257C" w:rsidRPr="00A81AAE">
        <w:rPr>
          <w:lang w:val="en-GB"/>
        </w:rPr>
        <w:t xml:space="preserve"> interesting case study </w:t>
      </w:r>
      <w:r w:rsidR="001572DE" w:rsidRPr="00A81AAE">
        <w:rPr>
          <w:lang w:val="en-GB"/>
        </w:rPr>
        <w:t>to gauge attitude of Fijians of Indian descent in relation to the support for Fiji Hindi, as a subject in Fijian schools. This study will assess if Fijians of Indian descent still find Fiji Hindi not suitable to be taught in primary schools. It will also be fascinating to find out the reasons behind their current attitudes and if possible influence them to accept Fiji Hindi in the education system.</w:t>
      </w:r>
    </w:p>
    <w:p w:rsidR="009D589E" w:rsidRPr="00A81AAE" w:rsidRDefault="009D589E" w:rsidP="009D589E">
      <w:pPr>
        <w:spacing w:after="0" w:line="360" w:lineRule="auto"/>
        <w:rPr>
          <w:lang w:val="en-GB"/>
        </w:rPr>
      </w:pPr>
    </w:p>
    <w:p w:rsidR="004719C0" w:rsidRPr="00A81AAE" w:rsidRDefault="004719C0" w:rsidP="009D589E">
      <w:pPr>
        <w:spacing w:after="0" w:line="360" w:lineRule="auto"/>
        <w:rPr>
          <w:b/>
          <w:sz w:val="28"/>
          <w:szCs w:val="28"/>
          <w:lang w:val="en-GB"/>
        </w:rPr>
      </w:pPr>
      <w:r w:rsidRPr="00A81AAE">
        <w:rPr>
          <w:b/>
          <w:sz w:val="28"/>
          <w:szCs w:val="28"/>
          <w:lang w:val="en-GB"/>
        </w:rPr>
        <w:t>4.0 Aim of this Study</w:t>
      </w:r>
    </w:p>
    <w:p w:rsidR="004719C0" w:rsidRPr="00A81AAE" w:rsidRDefault="004719C0" w:rsidP="009D589E">
      <w:pPr>
        <w:spacing w:after="0" w:line="360" w:lineRule="auto"/>
        <w:rPr>
          <w:b/>
          <w:lang w:val="en-GB"/>
        </w:rPr>
      </w:pPr>
      <w:r w:rsidRPr="00A81AAE">
        <w:rPr>
          <w:b/>
          <w:lang w:val="en-GB"/>
        </w:rPr>
        <w:t>This study aims to:</w:t>
      </w:r>
    </w:p>
    <w:p w:rsidR="007F53F2" w:rsidRPr="00A81AAE" w:rsidRDefault="007F53F2" w:rsidP="009D589E">
      <w:pPr>
        <w:pStyle w:val="ListParagraph"/>
        <w:numPr>
          <w:ilvl w:val="0"/>
          <w:numId w:val="1"/>
        </w:numPr>
        <w:spacing w:after="0" w:line="360" w:lineRule="auto"/>
        <w:rPr>
          <w:lang w:val="en-GB"/>
        </w:rPr>
      </w:pPr>
      <w:r w:rsidRPr="00A81AAE">
        <w:rPr>
          <w:lang w:val="en-GB"/>
        </w:rPr>
        <w:t>Examine the current attitudes of Fijians of Indian Descent toward the introduction of Fiji Hindi as a Conversational language in primary schools;</w:t>
      </w:r>
    </w:p>
    <w:p w:rsidR="001564C4" w:rsidRPr="00A81AAE" w:rsidRDefault="007F53F2" w:rsidP="009D589E">
      <w:pPr>
        <w:pStyle w:val="ListParagraph"/>
        <w:numPr>
          <w:ilvl w:val="0"/>
          <w:numId w:val="1"/>
        </w:numPr>
        <w:spacing w:after="0" w:line="360" w:lineRule="auto"/>
        <w:rPr>
          <w:lang w:val="en-GB"/>
        </w:rPr>
      </w:pPr>
      <w:r w:rsidRPr="00A81AAE">
        <w:rPr>
          <w:lang w:val="en-GB"/>
        </w:rPr>
        <w:t xml:space="preserve">Investigate </w:t>
      </w:r>
      <w:r w:rsidR="001564C4" w:rsidRPr="00A81AAE">
        <w:rPr>
          <w:lang w:val="en-GB"/>
        </w:rPr>
        <w:t xml:space="preserve">whether there has been </w:t>
      </w:r>
      <w:r w:rsidRPr="00A81AAE">
        <w:rPr>
          <w:lang w:val="en-GB"/>
        </w:rPr>
        <w:t>changes in attitude</w:t>
      </w:r>
      <w:r w:rsidR="001564C4" w:rsidRPr="00A81AAE">
        <w:rPr>
          <w:lang w:val="en-GB"/>
        </w:rPr>
        <w:t xml:space="preserve"> in the last ten years;</w:t>
      </w:r>
    </w:p>
    <w:p w:rsidR="001564C4" w:rsidRPr="00A81AAE" w:rsidRDefault="001564C4" w:rsidP="009D589E">
      <w:pPr>
        <w:pStyle w:val="ListParagraph"/>
        <w:numPr>
          <w:ilvl w:val="0"/>
          <w:numId w:val="1"/>
        </w:numPr>
        <w:spacing w:after="0" w:line="360" w:lineRule="auto"/>
        <w:rPr>
          <w:lang w:val="en-GB"/>
        </w:rPr>
      </w:pPr>
      <w:r w:rsidRPr="00A81AAE">
        <w:rPr>
          <w:lang w:val="en-GB"/>
        </w:rPr>
        <w:t xml:space="preserve">Determine Fijians of Indian Descents' reasoning for their attitudes in order to understand the support or lack of; </w:t>
      </w:r>
    </w:p>
    <w:p w:rsidR="001564C4" w:rsidRPr="00A81AAE" w:rsidRDefault="001564C4" w:rsidP="009D589E">
      <w:pPr>
        <w:pStyle w:val="ListParagraph"/>
        <w:numPr>
          <w:ilvl w:val="0"/>
          <w:numId w:val="1"/>
        </w:numPr>
        <w:spacing w:after="0" w:line="360" w:lineRule="auto"/>
        <w:rPr>
          <w:lang w:val="en-GB"/>
        </w:rPr>
      </w:pPr>
      <w:r w:rsidRPr="00A81AAE">
        <w:rPr>
          <w:lang w:val="en-GB"/>
        </w:rPr>
        <w:t>Justify public attitude toward their own mother language; and</w:t>
      </w:r>
    </w:p>
    <w:p w:rsidR="001564C4" w:rsidRPr="00A81AAE" w:rsidRDefault="004719C0" w:rsidP="009D589E">
      <w:pPr>
        <w:pStyle w:val="ListParagraph"/>
        <w:numPr>
          <w:ilvl w:val="0"/>
          <w:numId w:val="1"/>
        </w:numPr>
        <w:spacing w:after="0" w:line="360" w:lineRule="auto"/>
        <w:rPr>
          <w:lang w:val="en-GB"/>
        </w:rPr>
      </w:pPr>
      <w:r w:rsidRPr="00A81AAE">
        <w:rPr>
          <w:lang w:val="en-GB"/>
        </w:rPr>
        <w:t xml:space="preserve">Produce a comprehensive literature review from reliable research sources to prove that </w:t>
      </w:r>
      <w:r w:rsidR="001564C4" w:rsidRPr="00A81AAE">
        <w:rPr>
          <w:lang w:val="en-GB"/>
        </w:rPr>
        <w:t>attitudes have changed or otherwise.</w:t>
      </w:r>
    </w:p>
    <w:p w:rsidR="009D589E" w:rsidRPr="00A81AAE" w:rsidRDefault="009D589E" w:rsidP="009D589E">
      <w:pPr>
        <w:pStyle w:val="ListParagraph"/>
        <w:spacing w:after="0" w:line="360" w:lineRule="auto"/>
        <w:ind w:left="360"/>
        <w:rPr>
          <w:lang w:val="en-GB"/>
        </w:rPr>
      </w:pPr>
    </w:p>
    <w:p w:rsidR="004719C0" w:rsidRPr="00A81AAE" w:rsidRDefault="004719C0" w:rsidP="009D589E">
      <w:pPr>
        <w:spacing w:after="0" w:line="360" w:lineRule="auto"/>
        <w:rPr>
          <w:b/>
          <w:sz w:val="28"/>
          <w:szCs w:val="28"/>
          <w:lang w:val="en-GB"/>
        </w:rPr>
      </w:pPr>
      <w:r w:rsidRPr="00A81AAE">
        <w:rPr>
          <w:b/>
          <w:sz w:val="28"/>
          <w:szCs w:val="28"/>
          <w:lang w:val="en-GB"/>
        </w:rPr>
        <w:t>5.0 Research Questions</w:t>
      </w:r>
    </w:p>
    <w:p w:rsidR="004719C0" w:rsidRPr="00A81AAE" w:rsidRDefault="001E611F" w:rsidP="009D589E">
      <w:pPr>
        <w:spacing w:after="0" w:line="360" w:lineRule="auto"/>
        <w:rPr>
          <w:b/>
          <w:lang w:val="en-GB"/>
        </w:rPr>
      </w:pPr>
      <w:r w:rsidRPr="00A81AAE">
        <w:rPr>
          <w:b/>
          <w:lang w:val="en-GB"/>
        </w:rPr>
        <w:t xml:space="preserve">To </w:t>
      </w:r>
      <w:r w:rsidR="009D589E" w:rsidRPr="00A81AAE">
        <w:rPr>
          <w:b/>
          <w:lang w:val="en-GB"/>
        </w:rPr>
        <w:t>fulfil</w:t>
      </w:r>
      <w:r w:rsidR="004719C0" w:rsidRPr="00A81AAE">
        <w:rPr>
          <w:b/>
          <w:lang w:val="en-GB"/>
        </w:rPr>
        <w:t xml:space="preserve"> the </w:t>
      </w:r>
      <w:r w:rsidRPr="00A81AAE">
        <w:rPr>
          <w:b/>
          <w:lang w:val="en-GB"/>
        </w:rPr>
        <w:t>rationale of this</w:t>
      </w:r>
      <w:r w:rsidR="004719C0" w:rsidRPr="00A81AAE">
        <w:rPr>
          <w:b/>
          <w:lang w:val="en-GB"/>
        </w:rPr>
        <w:t xml:space="preserve"> </w:t>
      </w:r>
      <w:r w:rsidRPr="00A81AAE">
        <w:rPr>
          <w:b/>
          <w:lang w:val="en-GB"/>
        </w:rPr>
        <w:t>study</w:t>
      </w:r>
      <w:r w:rsidR="004719C0" w:rsidRPr="00A81AAE">
        <w:rPr>
          <w:b/>
          <w:lang w:val="en-GB"/>
        </w:rPr>
        <w:t xml:space="preserve">, this </w:t>
      </w:r>
      <w:r w:rsidRPr="00A81AAE">
        <w:rPr>
          <w:b/>
          <w:lang w:val="en-GB"/>
        </w:rPr>
        <w:t>research</w:t>
      </w:r>
      <w:r w:rsidR="004719C0" w:rsidRPr="00A81AAE">
        <w:rPr>
          <w:b/>
          <w:lang w:val="en-GB"/>
        </w:rPr>
        <w:t xml:space="preserve"> will be </w:t>
      </w:r>
      <w:r w:rsidRPr="00A81AAE">
        <w:rPr>
          <w:b/>
          <w:lang w:val="en-GB"/>
        </w:rPr>
        <w:t>governed</w:t>
      </w:r>
      <w:r w:rsidR="004719C0" w:rsidRPr="00A81AAE">
        <w:rPr>
          <w:b/>
          <w:lang w:val="en-GB"/>
        </w:rPr>
        <w:t xml:space="preserve"> by the following overarching questions:</w:t>
      </w:r>
    </w:p>
    <w:p w:rsidR="004719C0" w:rsidRPr="00A81AAE" w:rsidRDefault="004719C0" w:rsidP="009D589E">
      <w:pPr>
        <w:pStyle w:val="ListParagraph"/>
        <w:numPr>
          <w:ilvl w:val="0"/>
          <w:numId w:val="2"/>
        </w:numPr>
        <w:spacing w:after="0" w:line="360" w:lineRule="auto"/>
        <w:rPr>
          <w:lang w:val="en-GB"/>
        </w:rPr>
      </w:pPr>
      <w:proofErr w:type="gramStart"/>
      <w:r w:rsidRPr="00A81AAE">
        <w:rPr>
          <w:lang w:val="en-GB"/>
        </w:rPr>
        <w:t xml:space="preserve">Are </w:t>
      </w:r>
      <w:r w:rsidR="00E40294" w:rsidRPr="00A81AAE">
        <w:rPr>
          <w:lang w:val="en-GB"/>
        </w:rPr>
        <w:t>Fijians of Indian descent</w:t>
      </w:r>
      <w:proofErr w:type="gramEnd"/>
      <w:r w:rsidR="00E40294" w:rsidRPr="00A81AAE">
        <w:rPr>
          <w:lang w:val="en-GB"/>
        </w:rPr>
        <w:t xml:space="preserve"> ready to accept Fiji Hindi in the school system?</w:t>
      </w:r>
    </w:p>
    <w:p w:rsidR="00E40294" w:rsidRPr="00A81AAE" w:rsidRDefault="00E40294" w:rsidP="009D589E">
      <w:pPr>
        <w:pStyle w:val="ListParagraph"/>
        <w:numPr>
          <w:ilvl w:val="0"/>
          <w:numId w:val="2"/>
        </w:numPr>
        <w:spacing w:after="0" w:line="360" w:lineRule="auto"/>
        <w:rPr>
          <w:lang w:val="en-GB"/>
        </w:rPr>
      </w:pPr>
      <w:r w:rsidRPr="00A81AAE">
        <w:rPr>
          <w:lang w:val="en-GB"/>
        </w:rPr>
        <w:t>What are their current attitudes to accepting (or otherwise) Fiji Hindi as a subject in schools?</w:t>
      </w:r>
    </w:p>
    <w:p w:rsidR="009D589E" w:rsidRPr="00A81AAE" w:rsidRDefault="004719C0" w:rsidP="009D589E">
      <w:pPr>
        <w:pStyle w:val="ListParagraph"/>
        <w:numPr>
          <w:ilvl w:val="0"/>
          <w:numId w:val="2"/>
        </w:numPr>
        <w:spacing w:after="0" w:line="360" w:lineRule="auto"/>
        <w:rPr>
          <w:lang w:val="en-GB"/>
        </w:rPr>
      </w:pPr>
      <w:r w:rsidRPr="00A81AAE">
        <w:rPr>
          <w:lang w:val="en-GB"/>
        </w:rPr>
        <w:t xml:space="preserve">What could be the best possible way to encourage </w:t>
      </w:r>
      <w:r w:rsidR="00E40294" w:rsidRPr="00A81AAE">
        <w:rPr>
          <w:lang w:val="en-GB"/>
        </w:rPr>
        <w:t>Fijians of Indian Descent to recognise Fiji Hindi in the education system?</w:t>
      </w:r>
    </w:p>
    <w:p w:rsidR="00E40294" w:rsidRPr="00A81AAE" w:rsidRDefault="00E40294" w:rsidP="00E40294">
      <w:pPr>
        <w:pStyle w:val="ListParagraph"/>
        <w:spacing w:after="0" w:line="360" w:lineRule="auto"/>
        <w:ind w:left="360"/>
        <w:rPr>
          <w:lang w:val="en-GB"/>
        </w:rPr>
      </w:pPr>
    </w:p>
    <w:p w:rsidR="004719C0" w:rsidRPr="00A81AAE" w:rsidRDefault="00777F92" w:rsidP="009D589E">
      <w:pPr>
        <w:pStyle w:val="Default"/>
        <w:spacing w:line="360" w:lineRule="auto"/>
        <w:ind w:left="-450"/>
        <w:jc w:val="both"/>
        <w:rPr>
          <w:rFonts w:asciiTheme="majorHAnsi" w:hAnsiTheme="majorHAnsi" w:cstheme="minorHAnsi"/>
          <w:b/>
          <w:color w:val="auto"/>
          <w:sz w:val="26"/>
          <w:szCs w:val="26"/>
          <w:lang w:val="en-GB"/>
        </w:rPr>
      </w:pPr>
      <w:r w:rsidRPr="00A81AAE">
        <w:rPr>
          <w:rFonts w:asciiTheme="majorHAnsi" w:hAnsiTheme="majorHAnsi" w:cstheme="minorHAnsi"/>
          <w:b/>
          <w:color w:val="auto"/>
          <w:sz w:val="26"/>
          <w:szCs w:val="26"/>
          <w:lang w:val="en-GB"/>
        </w:rPr>
        <w:tab/>
      </w:r>
      <w:r w:rsidR="004719C0" w:rsidRPr="00A81AAE">
        <w:rPr>
          <w:rFonts w:asciiTheme="majorHAnsi" w:hAnsiTheme="majorHAnsi" w:cstheme="minorHAnsi"/>
          <w:b/>
          <w:color w:val="auto"/>
          <w:sz w:val="26"/>
          <w:szCs w:val="26"/>
          <w:lang w:val="en-GB"/>
        </w:rPr>
        <w:t xml:space="preserve">5.1 Definitions of key concepts and terms </w:t>
      </w:r>
    </w:p>
    <w:p w:rsidR="004719C0" w:rsidRPr="00A81AAE" w:rsidRDefault="00777F92" w:rsidP="009D589E">
      <w:pPr>
        <w:spacing w:after="0" w:line="360" w:lineRule="auto"/>
        <w:rPr>
          <w:lang w:val="en-GB"/>
        </w:rPr>
      </w:pPr>
      <w:r w:rsidRPr="00A81AAE">
        <w:rPr>
          <w:lang w:val="en-GB"/>
        </w:rPr>
        <w:tab/>
      </w:r>
      <w:proofErr w:type="gramStart"/>
      <w:r w:rsidR="001564C4" w:rsidRPr="00A81AAE">
        <w:rPr>
          <w:lang w:val="en-GB"/>
        </w:rPr>
        <w:t>Language Education, Fiji Hindi, Standard Hindi, Vernacular, Fijian schools</w:t>
      </w:r>
      <w:r w:rsidR="004719C0" w:rsidRPr="00A81AAE">
        <w:rPr>
          <w:lang w:val="en-GB"/>
        </w:rPr>
        <w:t>.</w:t>
      </w:r>
      <w:proofErr w:type="gramEnd"/>
    </w:p>
    <w:p w:rsidR="009D589E" w:rsidRPr="00A81AAE" w:rsidRDefault="009D589E" w:rsidP="009D589E">
      <w:pPr>
        <w:spacing w:after="0" w:line="360" w:lineRule="auto"/>
        <w:rPr>
          <w:lang w:val="en-GB"/>
        </w:rPr>
      </w:pPr>
    </w:p>
    <w:p w:rsidR="004719C0" w:rsidRPr="00A81AAE" w:rsidRDefault="004719C0" w:rsidP="009D589E">
      <w:pPr>
        <w:spacing w:after="0" w:line="360" w:lineRule="auto"/>
        <w:rPr>
          <w:b/>
          <w:sz w:val="28"/>
          <w:szCs w:val="28"/>
          <w:lang w:val="en-GB"/>
        </w:rPr>
      </w:pPr>
      <w:r w:rsidRPr="00A81AAE">
        <w:rPr>
          <w:b/>
          <w:sz w:val="28"/>
          <w:szCs w:val="28"/>
          <w:lang w:val="en-GB"/>
        </w:rPr>
        <w:t>6.0 Research Methodology</w:t>
      </w:r>
    </w:p>
    <w:p w:rsidR="00E40294" w:rsidRPr="00A81AAE" w:rsidRDefault="004719C0" w:rsidP="009D589E">
      <w:pPr>
        <w:spacing w:after="0" w:line="360" w:lineRule="auto"/>
        <w:rPr>
          <w:lang w:val="en-GB"/>
        </w:rPr>
      </w:pPr>
      <w:r w:rsidRPr="00A81AAE">
        <w:rPr>
          <w:lang w:val="en-GB"/>
        </w:rPr>
        <w:t xml:space="preserve">The study will entail a mixed method approach - quantitative and qualitative. Questionnaires will allow quantitative analysis while </w:t>
      </w:r>
      <w:r w:rsidR="00E40294" w:rsidRPr="00A81AAE">
        <w:rPr>
          <w:lang w:val="en-GB"/>
        </w:rPr>
        <w:t>semi-s</w:t>
      </w:r>
      <w:r w:rsidRPr="00A81AAE">
        <w:rPr>
          <w:lang w:val="en-GB"/>
        </w:rPr>
        <w:t>tructured interviews will provide information for qualitative analysis.</w:t>
      </w:r>
      <w:r w:rsidRPr="00A81AAE">
        <w:rPr>
          <w:b/>
          <w:bCs/>
          <w:lang w:val="en-GB"/>
        </w:rPr>
        <w:t xml:space="preserve"> </w:t>
      </w:r>
      <w:r w:rsidRPr="00A81AAE">
        <w:rPr>
          <w:lang w:val="en-GB"/>
        </w:rPr>
        <w:t>A survey research design will be adopted in which questionnaires will be used to collect information from the respondents. With this method, substantial information can be collat</w:t>
      </w:r>
      <w:r w:rsidR="00B44EE0" w:rsidRPr="00A81AAE">
        <w:rPr>
          <w:lang w:val="en-GB"/>
        </w:rPr>
        <w:t>ed from a large cohort in a short duration</w:t>
      </w:r>
      <w:r w:rsidRPr="00A81AAE">
        <w:rPr>
          <w:lang w:val="en-GB"/>
        </w:rPr>
        <w:t xml:space="preserve"> and in a relatively short time.</w:t>
      </w:r>
    </w:p>
    <w:p w:rsidR="00E40294" w:rsidRPr="00A81AAE" w:rsidRDefault="00E40294" w:rsidP="009D589E">
      <w:pPr>
        <w:spacing w:after="0" w:line="360" w:lineRule="auto"/>
        <w:rPr>
          <w:lang w:val="en-GB"/>
        </w:rPr>
      </w:pPr>
    </w:p>
    <w:p w:rsidR="00186AF5" w:rsidRPr="00A81AAE" w:rsidRDefault="004719C0" w:rsidP="009D589E">
      <w:pPr>
        <w:spacing w:after="0" w:line="360" w:lineRule="auto"/>
        <w:rPr>
          <w:lang w:val="en-GB"/>
        </w:rPr>
      </w:pPr>
      <w:r w:rsidRPr="00A81AAE">
        <w:rPr>
          <w:lang w:val="en-GB"/>
        </w:rPr>
        <w:t xml:space="preserve">A descriptive design will be used to describe the data. This design is </w:t>
      </w:r>
      <w:r w:rsidR="00E40294" w:rsidRPr="00A81AAE">
        <w:rPr>
          <w:lang w:val="en-GB"/>
        </w:rPr>
        <w:t>a systematic method which involves</w:t>
      </w:r>
      <w:r w:rsidRPr="00A81AAE">
        <w:rPr>
          <w:lang w:val="en-GB"/>
        </w:rPr>
        <w:t xml:space="preserve"> observing and describing the </w:t>
      </w:r>
      <w:r w:rsidR="009D589E" w:rsidRPr="00A81AAE">
        <w:rPr>
          <w:lang w:val="en-GB"/>
        </w:rPr>
        <w:t>behaviour</w:t>
      </w:r>
      <w:r w:rsidRPr="00A81AAE">
        <w:rPr>
          <w:lang w:val="en-GB"/>
        </w:rPr>
        <w:t xml:space="preserve"> of a subject without </w:t>
      </w:r>
      <w:r w:rsidR="00AA1A19" w:rsidRPr="00A81AAE">
        <w:rPr>
          <w:lang w:val="en-GB"/>
        </w:rPr>
        <w:t>controlling</w:t>
      </w:r>
      <w:r w:rsidRPr="00A81AAE">
        <w:rPr>
          <w:lang w:val="en-GB"/>
        </w:rPr>
        <w:t xml:space="preserve"> it in any way. Quantitative method will explain the phenomenon through the numerical data while qualitative research </w:t>
      </w:r>
      <w:r w:rsidR="00186AF5" w:rsidRPr="00A81AAE">
        <w:rPr>
          <w:lang w:val="en-GB"/>
        </w:rPr>
        <w:t>will allow collection of culturally specific information such as the principles, opinions, conduct</w:t>
      </w:r>
      <w:r w:rsidR="00800B47" w:rsidRPr="00A81AAE">
        <w:rPr>
          <w:lang w:val="en-GB"/>
        </w:rPr>
        <w:t>,</w:t>
      </w:r>
      <w:r w:rsidR="00186AF5" w:rsidRPr="00A81AAE">
        <w:rPr>
          <w:lang w:val="en-GB"/>
        </w:rPr>
        <w:t xml:space="preserve"> </w:t>
      </w:r>
      <w:r w:rsidR="00800B47" w:rsidRPr="00A81AAE">
        <w:rPr>
          <w:lang w:val="en-GB"/>
        </w:rPr>
        <w:t>and social</w:t>
      </w:r>
      <w:r w:rsidR="00186AF5" w:rsidRPr="00A81AAE">
        <w:rPr>
          <w:lang w:val="en-GB"/>
        </w:rPr>
        <w:t xml:space="preserve"> status of particular groups of people.</w:t>
      </w:r>
    </w:p>
    <w:p w:rsidR="009D589E" w:rsidRPr="00A81AAE" w:rsidRDefault="009D589E" w:rsidP="009D589E">
      <w:pPr>
        <w:spacing w:after="0" w:line="360" w:lineRule="auto"/>
        <w:rPr>
          <w:lang w:val="en-GB"/>
        </w:rPr>
      </w:pPr>
    </w:p>
    <w:p w:rsidR="004719C0" w:rsidRPr="00A81AAE" w:rsidRDefault="00777F92" w:rsidP="009D589E">
      <w:pPr>
        <w:spacing w:after="0" w:line="360" w:lineRule="auto"/>
        <w:rPr>
          <w:b/>
          <w:sz w:val="26"/>
          <w:szCs w:val="26"/>
          <w:lang w:val="en-GB"/>
        </w:rPr>
      </w:pPr>
      <w:r w:rsidRPr="00A81AAE">
        <w:rPr>
          <w:b/>
          <w:sz w:val="26"/>
          <w:szCs w:val="26"/>
          <w:lang w:val="en-GB"/>
        </w:rPr>
        <w:tab/>
      </w:r>
      <w:r w:rsidR="004719C0" w:rsidRPr="00A81AAE">
        <w:rPr>
          <w:b/>
          <w:sz w:val="26"/>
          <w:szCs w:val="26"/>
          <w:lang w:val="en-GB"/>
        </w:rPr>
        <w:t>6.1 Study Sample</w:t>
      </w:r>
    </w:p>
    <w:p w:rsidR="004719C0" w:rsidRPr="00A81AAE" w:rsidRDefault="00777F92" w:rsidP="009D589E">
      <w:pPr>
        <w:spacing w:after="0" w:line="360" w:lineRule="auto"/>
        <w:rPr>
          <w:lang w:val="en-GB"/>
        </w:rPr>
      </w:pPr>
      <w:r w:rsidRPr="00A81AAE">
        <w:rPr>
          <w:lang w:val="en-GB"/>
        </w:rPr>
        <w:tab/>
      </w:r>
      <w:r w:rsidR="001564C4" w:rsidRPr="00A81AAE">
        <w:rPr>
          <w:lang w:val="en-GB"/>
        </w:rPr>
        <w:t xml:space="preserve">The area of study will be rural and urban settlements in Sigatoka.  </w:t>
      </w:r>
      <w:r w:rsidR="004719C0" w:rsidRPr="00A81AAE">
        <w:rPr>
          <w:lang w:val="en-GB"/>
        </w:rPr>
        <w:t xml:space="preserve">The target population for </w:t>
      </w:r>
      <w:r w:rsidRPr="00A81AAE">
        <w:rPr>
          <w:lang w:val="en-GB"/>
        </w:rPr>
        <w:tab/>
      </w:r>
      <w:r w:rsidR="004719C0" w:rsidRPr="00A81AAE">
        <w:rPr>
          <w:lang w:val="en-GB"/>
        </w:rPr>
        <w:t xml:space="preserve">the study will be </w:t>
      </w:r>
      <w:r w:rsidR="001564C4" w:rsidRPr="00A81AAE">
        <w:rPr>
          <w:lang w:val="en-GB"/>
        </w:rPr>
        <w:t>Fijians of Indian Descent co</w:t>
      </w:r>
      <w:r w:rsidR="004719C0" w:rsidRPr="00A81AAE">
        <w:rPr>
          <w:lang w:val="en-GB"/>
        </w:rPr>
        <w:t xml:space="preserve">mprising </w:t>
      </w:r>
      <w:r w:rsidR="001564C4" w:rsidRPr="00A81AAE">
        <w:rPr>
          <w:lang w:val="en-GB"/>
        </w:rPr>
        <w:t xml:space="preserve">students </w:t>
      </w:r>
      <w:r w:rsidR="004719C0" w:rsidRPr="00A81AAE">
        <w:rPr>
          <w:lang w:val="en-GB"/>
        </w:rPr>
        <w:t xml:space="preserve">attending primary and </w:t>
      </w:r>
      <w:r w:rsidRPr="00A81AAE">
        <w:rPr>
          <w:lang w:val="en-GB"/>
        </w:rPr>
        <w:tab/>
      </w:r>
      <w:r w:rsidR="004719C0" w:rsidRPr="00A81AAE">
        <w:rPr>
          <w:lang w:val="en-GB"/>
        </w:rPr>
        <w:t xml:space="preserve">secondary schools </w:t>
      </w:r>
      <w:r w:rsidR="001564C4" w:rsidRPr="00A81AAE">
        <w:rPr>
          <w:lang w:val="en-GB"/>
        </w:rPr>
        <w:t>and adults engaged in all walks of life. A</w:t>
      </w:r>
      <w:r w:rsidR="004719C0" w:rsidRPr="00A81AAE">
        <w:rPr>
          <w:lang w:val="en-GB"/>
        </w:rPr>
        <w:t xml:space="preserve"> total of 200 </w:t>
      </w:r>
      <w:r w:rsidR="001564C4" w:rsidRPr="00A81AAE">
        <w:rPr>
          <w:lang w:val="en-GB"/>
        </w:rPr>
        <w:t xml:space="preserve">Fijians of Indian </w:t>
      </w:r>
      <w:r w:rsidRPr="00A81AAE">
        <w:rPr>
          <w:lang w:val="en-GB"/>
        </w:rPr>
        <w:tab/>
      </w:r>
      <w:r w:rsidR="001564C4" w:rsidRPr="00A81AAE">
        <w:rPr>
          <w:lang w:val="en-GB"/>
        </w:rPr>
        <w:t xml:space="preserve">Descent will </w:t>
      </w:r>
      <w:r w:rsidR="004719C0" w:rsidRPr="00A81AAE">
        <w:rPr>
          <w:lang w:val="en-GB"/>
        </w:rPr>
        <w:t>be selected randomly residing in the aforementioned area</w:t>
      </w:r>
      <w:r w:rsidR="001564C4" w:rsidRPr="00A81AAE">
        <w:rPr>
          <w:lang w:val="en-GB"/>
        </w:rPr>
        <w:t xml:space="preserve">. </w:t>
      </w:r>
      <w:r w:rsidR="004719C0" w:rsidRPr="00A81AAE">
        <w:rPr>
          <w:lang w:val="en-GB"/>
        </w:rPr>
        <w:t xml:space="preserve">A disproportionate </w:t>
      </w:r>
      <w:r w:rsidRPr="00A81AAE">
        <w:rPr>
          <w:lang w:val="en-GB"/>
        </w:rPr>
        <w:tab/>
      </w:r>
      <w:r w:rsidR="004719C0" w:rsidRPr="00A81AAE">
        <w:rPr>
          <w:lang w:val="en-GB"/>
        </w:rPr>
        <w:t>stratified random sampling will be employed in selecting the participants from th</w:t>
      </w:r>
      <w:r w:rsidR="001564C4" w:rsidRPr="00A81AAE">
        <w:rPr>
          <w:lang w:val="en-GB"/>
        </w:rPr>
        <w:t>is area</w:t>
      </w:r>
      <w:r w:rsidR="004719C0" w:rsidRPr="00A81AAE">
        <w:rPr>
          <w:lang w:val="en-GB"/>
        </w:rPr>
        <w:t xml:space="preserve">. </w:t>
      </w:r>
      <w:r w:rsidRPr="00A81AAE">
        <w:rPr>
          <w:lang w:val="en-GB"/>
        </w:rPr>
        <w:tab/>
      </w:r>
      <w:r w:rsidR="004719C0" w:rsidRPr="00A81AAE">
        <w:rPr>
          <w:lang w:val="en-GB"/>
        </w:rPr>
        <w:t xml:space="preserve">Variables such as participants’ background, gender, knowledge on the subject of study, and </w:t>
      </w:r>
      <w:r w:rsidRPr="00A81AAE">
        <w:rPr>
          <w:lang w:val="en-GB"/>
        </w:rPr>
        <w:tab/>
      </w:r>
      <w:r w:rsidR="004719C0" w:rsidRPr="00A81AAE">
        <w:rPr>
          <w:lang w:val="en-GB"/>
        </w:rPr>
        <w:t xml:space="preserve">interest in </w:t>
      </w:r>
      <w:r w:rsidR="001564C4" w:rsidRPr="00A81AAE">
        <w:rPr>
          <w:lang w:val="en-GB"/>
        </w:rPr>
        <w:t xml:space="preserve">language education </w:t>
      </w:r>
      <w:r w:rsidR="004719C0" w:rsidRPr="00A81AAE">
        <w:rPr>
          <w:lang w:val="en-GB"/>
        </w:rPr>
        <w:t>will be considered while selecting the research population.</w:t>
      </w:r>
    </w:p>
    <w:p w:rsidR="00E40294" w:rsidRPr="00A81AAE" w:rsidRDefault="00E40294" w:rsidP="009D589E">
      <w:pPr>
        <w:spacing w:after="0" w:line="360" w:lineRule="auto"/>
        <w:rPr>
          <w:lang w:val="en-GB"/>
        </w:rPr>
      </w:pPr>
    </w:p>
    <w:p w:rsidR="004719C0" w:rsidRPr="00A81AAE" w:rsidRDefault="00777F92" w:rsidP="009D589E">
      <w:pPr>
        <w:spacing w:after="0" w:line="360" w:lineRule="auto"/>
        <w:rPr>
          <w:b/>
          <w:sz w:val="26"/>
          <w:szCs w:val="26"/>
          <w:lang w:val="en-GB"/>
        </w:rPr>
      </w:pPr>
      <w:r w:rsidRPr="00A81AAE">
        <w:rPr>
          <w:b/>
          <w:sz w:val="26"/>
          <w:szCs w:val="26"/>
          <w:lang w:val="en-GB"/>
        </w:rPr>
        <w:tab/>
      </w:r>
      <w:r w:rsidR="004719C0" w:rsidRPr="00A81AAE">
        <w:rPr>
          <w:b/>
          <w:sz w:val="26"/>
          <w:szCs w:val="26"/>
          <w:lang w:val="en-GB"/>
        </w:rPr>
        <w:t>6.2 Research Tool</w:t>
      </w:r>
    </w:p>
    <w:p w:rsidR="0080294D" w:rsidRPr="00A81AAE" w:rsidRDefault="00777F92" w:rsidP="009D589E">
      <w:pPr>
        <w:spacing w:after="0" w:line="360" w:lineRule="auto"/>
        <w:rPr>
          <w:lang w:val="en-GB"/>
        </w:rPr>
      </w:pPr>
      <w:r w:rsidRPr="00A81AAE">
        <w:rPr>
          <w:lang w:val="en-GB"/>
        </w:rPr>
        <w:tab/>
      </w:r>
      <w:r w:rsidR="004719C0" w:rsidRPr="00A81AAE">
        <w:rPr>
          <w:lang w:val="en-GB"/>
        </w:rPr>
        <w:t>Questionnaires wil</w:t>
      </w:r>
      <w:r w:rsidR="00E40294" w:rsidRPr="00A81AAE">
        <w:rPr>
          <w:lang w:val="en-GB"/>
        </w:rPr>
        <w:t xml:space="preserve">l be administered to the selected participants. </w:t>
      </w:r>
      <w:r w:rsidR="004719C0" w:rsidRPr="00A81AAE">
        <w:rPr>
          <w:lang w:val="en-GB"/>
        </w:rPr>
        <w:t xml:space="preserve">Additionally, </w:t>
      </w:r>
      <w:r w:rsidR="00E40294" w:rsidRPr="00A81AAE">
        <w:rPr>
          <w:lang w:val="en-GB"/>
        </w:rPr>
        <w:t>semi-</w:t>
      </w:r>
      <w:r w:rsidR="00E40294" w:rsidRPr="00A81AAE">
        <w:rPr>
          <w:lang w:val="en-GB"/>
        </w:rPr>
        <w:tab/>
      </w:r>
      <w:r w:rsidR="004719C0" w:rsidRPr="00A81AAE">
        <w:rPr>
          <w:lang w:val="en-GB"/>
        </w:rPr>
        <w:t xml:space="preserve">structured interviews will be conducted with some participants. </w:t>
      </w:r>
      <w:r w:rsidR="00E40294" w:rsidRPr="00A81AAE">
        <w:rPr>
          <w:lang w:val="en-GB"/>
        </w:rPr>
        <w:t>Semi-</w:t>
      </w:r>
      <w:r w:rsidR="004719C0" w:rsidRPr="00A81AAE">
        <w:rPr>
          <w:lang w:val="en-GB"/>
        </w:rPr>
        <w:t xml:space="preserve">structured </w:t>
      </w:r>
      <w:r w:rsidR="00E40294" w:rsidRPr="00A81AAE">
        <w:rPr>
          <w:lang w:val="en-GB"/>
        </w:rPr>
        <w:t xml:space="preserve"> </w:t>
      </w:r>
      <w:r w:rsidR="00E40294" w:rsidRPr="00A81AAE">
        <w:rPr>
          <w:lang w:val="en-GB"/>
        </w:rPr>
        <w:tab/>
      </w:r>
      <w:r w:rsidR="004719C0" w:rsidRPr="00A81AAE">
        <w:rPr>
          <w:lang w:val="en-GB"/>
        </w:rPr>
        <w:t>interview</w:t>
      </w:r>
      <w:r w:rsidR="00E40294" w:rsidRPr="00A81AAE">
        <w:rPr>
          <w:lang w:val="en-GB"/>
        </w:rPr>
        <w:t xml:space="preserve">s are practicable to provide an </w:t>
      </w:r>
      <w:r w:rsidR="00050A1C" w:rsidRPr="00A81AAE">
        <w:rPr>
          <w:lang w:val="en-GB"/>
        </w:rPr>
        <w:t xml:space="preserve">insight on the topic. </w:t>
      </w:r>
      <w:r w:rsidR="00E40294" w:rsidRPr="00A81AAE">
        <w:rPr>
          <w:lang w:val="en-GB"/>
        </w:rPr>
        <w:t xml:space="preserve">It allows for free conversation </w:t>
      </w:r>
      <w:r w:rsidR="00E40294" w:rsidRPr="00A81AAE">
        <w:rPr>
          <w:lang w:val="en-GB"/>
        </w:rPr>
        <w:lastRenderedPageBreak/>
        <w:tab/>
        <w:t xml:space="preserve">on a specific area of significance. </w:t>
      </w:r>
      <w:r w:rsidR="00050A1C" w:rsidRPr="00A81AAE">
        <w:rPr>
          <w:lang w:val="en-GB"/>
        </w:rPr>
        <w:t>This also allows the</w:t>
      </w:r>
      <w:r w:rsidR="004719C0" w:rsidRPr="00A81AAE">
        <w:rPr>
          <w:lang w:val="en-GB"/>
        </w:rPr>
        <w:t xml:space="preserve"> researchers the </w:t>
      </w:r>
      <w:r w:rsidRPr="00A81AAE">
        <w:rPr>
          <w:lang w:val="en-GB"/>
        </w:rPr>
        <w:tab/>
      </w:r>
      <w:r w:rsidR="004719C0" w:rsidRPr="00A81AAE">
        <w:rPr>
          <w:lang w:val="en-GB"/>
        </w:rPr>
        <w:t xml:space="preserve">opportunity to test </w:t>
      </w:r>
      <w:r w:rsidR="00E40294" w:rsidRPr="00A81AAE">
        <w:rPr>
          <w:lang w:val="en-GB"/>
        </w:rPr>
        <w:tab/>
      </w:r>
      <w:r w:rsidR="004719C0" w:rsidRPr="00A81AAE">
        <w:rPr>
          <w:lang w:val="en-GB"/>
        </w:rPr>
        <w:t>the p</w:t>
      </w:r>
      <w:r w:rsidR="0080294D" w:rsidRPr="00A81AAE">
        <w:rPr>
          <w:lang w:val="en-GB"/>
        </w:rPr>
        <w:t>rior</w:t>
      </w:r>
      <w:r w:rsidR="004719C0" w:rsidRPr="00A81AAE">
        <w:rPr>
          <w:lang w:val="en-GB"/>
        </w:rPr>
        <w:t xml:space="preserve"> </w:t>
      </w:r>
      <w:r w:rsidR="0080294D" w:rsidRPr="00A81AAE">
        <w:rPr>
          <w:lang w:val="en-GB"/>
        </w:rPr>
        <w:t xml:space="preserve">knowledge and at the same time, provide avenues to view and comprehend </w:t>
      </w:r>
      <w:r w:rsidR="00E40294" w:rsidRPr="00A81AAE">
        <w:rPr>
          <w:lang w:val="en-GB"/>
        </w:rPr>
        <w:tab/>
      </w:r>
      <w:r w:rsidR="0080294D" w:rsidRPr="00A81AAE">
        <w:rPr>
          <w:lang w:val="en-GB"/>
        </w:rPr>
        <w:t xml:space="preserve">development in new ways. </w:t>
      </w:r>
    </w:p>
    <w:p w:rsidR="009D589E" w:rsidRPr="00A81AAE" w:rsidRDefault="009D589E" w:rsidP="009D589E">
      <w:pPr>
        <w:spacing w:after="0" w:line="360" w:lineRule="auto"/>
        <w:rPr>
          <w:lang w:val="en-GB"/>
        </w:rPr>
      </w:pPr>
    </w:p>
    <w:p w:rsidR="0060392D" w:rsidRPr="00A81AAE" w:rsidRDefault="00777F92" w:rsidP="009D589E">
      <w:pPr>
        <w:spacing w:after="0" w:line="360" w:lineRule="auto"/>
        <w:rPr>
          <w:lang w:val="en-GB"/>
        </w:rPr>
      </w:pPr>
      <w:r w:rsidRPr="00A81AAE">
        <w:rPr>
          <w:lang w:val="en-GB"/>
        </w:rPr>
        <w:tab/>
      </w:r>
      <w:r w:rsidR="0060392D" w:rsidRPr="00A81AAE">
        <w:rPr>
          <w:lang w:val="en-GB"/>
        </w:rPr>
        <w:t xml:space="preserve">The first two research questions will be analyzed with the help of questionnaires and will </w:t>
      </w:r>
      <w:r w:rsidRPr="00A81AAE">
        <w:rPr>
          <w:lang w:val="en-GB"/>
        </w:rPr>
        <w:tab/>
      </w:r>
      <w:r w:rsidR="0060392D" w:rsidRPr="00A81AAE">
        <w:rPr>
          <w:lang w:val="en-GB"/>
        </w:rPr>
        <w:t>require quantitative analysis</w:t>
      </w:r>
      <w:r w:rsidR="000422DD" w:rsidRPr="00A81AAE">
        <w:rPr>
          <w:lang w:val="en-GB"/>
        </w:rPr>
        <w:t xml:space="preserve">. The five point Likert type scale ranging from 5 (strongly </w:t>
      </w:r>
      <w:r w:rsidRPr="00A81AAE">
        <w:rPr>
          <w:lang w:val="en-GB"/>
        </w:rPr>
        <w:tab/>
      </w:r>
      <w:r w:rsidR="00DF38C7" w:rsidRPr="00A81AAE">
        <w:rPr>
          <w:lang w:val="en-GB"/>
        </w:rPr>
        <w:t>consent</w:t>
      </w:r>
      <w:r w:rsidR="000422DD" w:rsidRPr="00A81AAE">
        <w:rPr>
          <w:lang w:val="en-GB"/>
        </w:rPr>
        <w:t xml:space="preserve">) to 1 (strongly </w:t>
      </w:r>
      <w:r w:rsidR="00DF38C7" w:rsidRPr="00A81AAE">
        <w:rPr>
          <w:lang w:val="en-GB"/>
        </w:rPr>
        <w:t>oppose</w:t>
      </w:r>
      <w:r w:rsidR="000422DD" w:rsidRPr="00A81AAE">
        <w:rPr>
          <w:lang w:val="en-GB"/>
        </w:rPr>
        <w:t xml:space="preserve">) will be </w:t>
      </w:r>
      <w:r w:rsidR="00DF38C7" w:rsidRPr="00A81AAE">
        <w:rPr>
          <w:lang w:val="en-GB"/>
        </w:rPr>
        <w:t>utilized</w:t>
      </w:r>
      <w:r w:rsidR="000422DD" w:rsidRPr="00A81AAE">
        <w:rPr>
          <w:lang w:val="en-GB"/>
        </w:rPr>
        <w:t xml:space="preserve"> in the </w:t>
      </w:r>
      <w:r w:rsidR="00DF38C7" w:rsidRPr="00A81AAE">
        <w:rPr>
          <w:lang w:val="en-GB"/>
        </w:rPr>
        <w:t>study</w:t>
      </w:r>
      <w:r w:rsidR="000422DD" w:rsidRPr="00A81AAE">
        <w:rPr>
          <w:lang w:val="en-GB"/>
        </w:rPr>
        <w:t xml:space="preserve"> to </w:t>
      </w:r>
      <w:r w:rsidR="00DF38C7" w:rsidRPr="00A81AAE">
        <w:rPr>
          <w:lang w:val="en-GB"/>
        </w:rPr>
        <w:t>concentrate on</w:t>
      </w:r>
      <w:r w:rsidR="000422DD" w:rsidRPr="00A81AAE">
        <w:rPr>
          <w:lang w:val="en-GB"/>
        </w:rPr>
        <w:t xml:space="preserve"> the two </w:t>
      </w:r>
      <w:r w:rsidRPr="00A81AAE">
        <w:rPr>
          <w:lang w:val="en-GB"/>
        </w:rPr>
        <w:tab/>
      </w:r>
      <w:r w:rsidR="000422DD" w:rsidRPr="00A81AAE">
        <w:rPr>
          <w:lang w:val="en-GB"/>
        </w:rPr>
        <w:t>questions</w:t>
      </w:r>
      <w:r w:rsidR="00A248A2" w:rsidRPr="00A81AAE">
        <w:rPr>
          <w:lang w:val="en-GB"/>
        </w:rPr>
        <w:t xml:space="preserve"> </w:t>
      </w:r>
      <w:r w:rsidR="00C84FBC" w:rsidRPr="00A81AAE">
        <w:rPr>
          <w:lang w:val="en-GB"/>
        </w:rPr>
        <w:t>to understand</w:t>
      </w:r>
      <w:r w:rsidR="00A248A2" w:rsidRPr="00A81AAE">
        <w:rPr>
          <w:lang w:val="en-GB"/>
        </w:rPr>
        <w:t xml:space="preserve"> </w:t>
      </w:r>
      <w:r w:rsidR="000422DD" w:rsidRPr="00A81AAE">
        <w:rPr>
          <w:lang w:val="en-GB"/>
        </w:rPr>
        <w:t xml:space="preserve">the theoretical and practical </w:t>
      </w:r>
      <w:r w:rsidR="00CE084A" w:rsidRPr="00A81AAE">
        <w:rPr>
          <w:lang w:val="en-GB"/>
        </w:rPr>
        <w:t xml:space="preserve">nature of this study.  The last </w:t>
      </w:r>
      <w:r w:rsidR="00CE084A" w:rsidRPr="00A81AAE">
        <w:rPr>
          <w:lang w:val="en-GB"/>
        </w:rPr>
        <w:tab/>
      </w:r>
      <w:r w:rsidR="0060392D" w:rsidRPr="00A81AAE">
        <w:rPr>
          <w:lang w:val="en-GB"/>
        </w:rPr>
        <w:t xml:space="preserve">research question will have to be analyzed after conducting </w:t>
      </w:r>
      <w:r w:rsidR="00CE084A" w:rsidRPr="00A81AAE">
        <w:rPr>
          <w:lang w:val="en-GB"/>
        </w:rPr>
        <w:t xml:space="preserve">semi-structured </w:t>
      </w:r>
      <w:r w:rsidR="0060392D" w:rsidRPr="00A81AAE">
        <w:rPr>
          <w:lang w:val="en-GB"/>
        </w:rPr>
        <w:t>interviews</w:t>
      </w:r>
      <w:r w:rsidR="00CE084A" w:rsidRPr="00A81AAE">
        <w:rPr>
          <w:lang w:val="en-GB"/>
        </w:rPr>
        <w:t xml:space="preserve">. </w:t>
      </w:r>
      <w:r w:rsidR="00CE084A" w:rsidRPr="00A81AAE">
        <w:rPr>
          <w:lang w:val="en-GB"/>
        </w:rPr>
        <w:tab/>
      </w:r>
      <w:r w:rsidR="00C84FBC" w:rsidRPr="00A81AAE">
        <w:rPr>
          <w:lang w:val="en-GB"/>
        </w:rPr>
        <w:t>Open</w:t>
      </w:r>
      <w:r w:rsidR="00CE084A" w:rsidRPr="00A81AAE">
        <w:rPr>
          <w:lang w:val="en-GB"/>
        </w:rPr>
        <w:t>-</w:t>
      </w:r>
      <w:r w:rsidR="00C84FBC" w:rsidRPr="00A81AAE">
        <w:rPr>
          <w:lang w:val="en-GB"/>
        </w:rPr>
        <w:t xml:space="preserve">ended questions will be used to </w:t>
      </w:r>
      <w:r w:rsidR="001E611F" w:rsidRPr="00A81AAE">
        <w:rPr>
          <w:lang w:val="en-GB"/>
        </w:rPr>
        <w:t>collect</w:t>
      </w:r>
      <w:r w:rsidR="00C84FBC" w:rsidRPr="00A81AAE">
        <w:rPr>
          <w:lang w:val="en-GB"/>
        </w:rPr>
        <w:t xml:space="preserve"> finer points </w:t>
      </w:r>
      <w:r w:rsidR="00CE084A" w:rsidRPr="00A81AAE">
        <w:rPr>
          <w:lang w:val="en-GB"/>
        </w:rPr>
        <w:t>on the topic. T</w:t>
      </w:r>
      <w:r w:rsidR="0060392D" w:rsidRPr="00A81AAE">
        <w:rPr>
          <w:lang w:val="en-GB"/>
        </w:rPr>
        <w:t xml:space="preserve">his will </w:t>
      </w:r>
      <w:r w:rsidRPr="00A81AAE">
        <w:rPr>
          <w:lang w:val="en-GB"/>
        </w:rPr>
        <w:tab/>
      </w:r>
      <w:r w:rsidR="0060392D" w:rsidRPr="00A81AAE">
        <w:rPr>
          <w:lang w:val="en-GB"/>
        </w:rPr>
        <w:t xml:space="preserve">require a qualitative approach. </w:t>
      </w:r>
    </w:p>
    <w:p w:rsidR="009D589E" w:rsidRPr="00A81AAE" w:rsidRDefault="009D589E" w:rsidP="009D589E">
      <w:pPr>
        <w:spacing w:after="0" w:line="360" w:lineRule="auto"/>
        <w:rPr>
          <w:lang w:val="en-GB"/>
        </w:rPr>
      </w:pPr>
    </w:p>
    <w:p w:rsidR="00563FB1" w:rsidRPr="00A81AAE" w:rsidRDefault="00777F92" w:rsidP="009D589E">
      <w:pPr>
        <w:spacing w:after="0" w:line="360" w:lineRule="auto"/>
        <w:rPr>
          <w:lang w:val="en-GB"/>
        </w:rPr>
      </w:pPr>
      <w:r w:rsidRPr="00A81AAE">
        <w:rPr>
          <w:lang w:val="en-GB"/>
        </w:rPr>
        <w:tab/>
      </w:r>
      <w:r w:rsidR="004719C0" w:rsidRPr="00A81AAE">
        <w:rPr>
          <w:lang w:val="en-GB"/>
        </w:rPr>
        <w:t xml:space="preserve">Finally, the data collected will be analyzed with the assistance of descriptive and SPSS </w:t>
      </w:r>
      <w:r w:rsidRPr="00A81AAE">
        <w:rPr>
          <w:lang w:val="en-GB"/>
        </w:rPr>
        <w:tab/>
      </w:r>
      <w:r w:rsidR="004719C0" w:rsidRPr="00A81AAE">
        <w:rPr>
          <w:lang w:val="en-GB"/>
        </w:rPr>
        <w:t xml:space="preserve">statistical tools. </w:t>
      </w:r>
      <w:r w:rsidR="00563FB1" w:rsidRPr="00A81AAE">
        <w:rPr>
          <w:lang w:val="en-GB"/>
        </w:rPr>
        <w:t xml:space="preserve">Therefore, to produce the results of this research, the frequency, </w:t>
      </w:r>
      <w:r w:rsidRPr="00A81AAE">
        <w:rPr>
          <w:lang w:val="en-GB"/>
        </w:rPr>
        <w:tab/>
      </w:r>
      <w:r w:rsidR="00563FB1" w:rsidRPr="00A81AAE">
        <w:rPr>
          <w:lang w:val="en-GB"/>
        </w:rPr>
        <w:t>percentage and weighted mean will be considered.</w:t>
      </w:r>
    </w:p>
    <w:p w:rsidR="009D589E" w:rsidRPr="00A81AAE" w:rsidRDefault="009D589E" w:rsidP="009D589E">
      <w:pPr>
        <w:spacing w:after="0" w:line="360" w:lineRule="auto"/>
        <w:rPr>
          <w:lang w:val="en-GB"/>
        </w:rPr>
      </w:pPr>
    </w:p>
    <w:p w:rsidR="00B5729B" w:rsidRPr="00A81AAE" w:rsidRDefault="00777F92" w:rsidP="009D589E">
      <w:pPr>
        <w:spacing w:after="0" w:line="360" w:lineRule="auto"/>
        <w:rPr>
          <w:b/>
          <w:bCs/>
          <w:sz w:val="26"/>
          <w:szCs w:val="26"/>
          <w:lang w:val="en-GB"/>
        </w:rPr>
      </w:pPr>
      <w:r w:rsidRPr="00A81AAE">
        <w:rPr>
          <w:b/>
          <w:bCs/>
          <w:sz w:val="26"/>
          <w:szCs w:val="26"/>
          <w:lang w:val="en-GB"/>
        </w:rPr>
        <w:tab/>
      </w:r>
      <w:r w:rsidR="00B5729B" w:rsidRPr="00A81AAE">
        <w:rPr>
          <w:b/>
          <w:bCs/>
          <w:sz w:val="26"/>
          <w:szCs w:val="26"/>
          <w:lang w:val="en-GB"/>
        </w:rPr>
        <w:t>6.3</w:t>
      </w:r>
      <w:r w:rsidR="00B5729B" w:rsidRPr="00A81AAE">
        <w:rPr>
          <w:b/>
          <w:bCs/>
          <w:sz w:val="26"/>
          <w:szCs w:val="26"/>
          <w:lang w:val="en-GB"/>
        </w:rPr>
        <w:tab/>
        <w:t>Research Paradigm</w:t>
      </w:r>
    </w:p>
    <w:p w:rsidR="00B5729B" w:rsidRPr="00A81AAE" w:rsidRDefault="00777F92" w:rsidP="009D589E">
      <w:pPr>
        <w:spacing w:after="0" w:line="360" w:lineRule="auto"/>
        <w:rPr>
          <w:lang w:val="en-GB"/>
        </w:rPr>
      </w:pPr>
      <w:r w:rsidRPr="00A81AAE">
        <w:rPr>
          <w:lang w:val="en-GB"/>
        </w:rPr>
        <w:tab/>
      </w:r>
      <w:r w:rsidR="00AE27EB" w:rsidRPr="00A81AAE">
        <w:rPr>
          <w:lang w:val="en-GB"/>
        </w:rPr>
        <w:t xml:space="preserve">The </w:t>
      </w:r>
      <w:r w:rsidR="00024466" w:rsidRPr="00A81AAE">
        <w:rPr>
          <w:lang w:val="en-GB"/>
        </w:rPr>
        <w:t>temperament of the research questions requires</w:t>
      </w:r>
      <w:r w:rsidR="00AE27EB" w:rsidRPr="00A81AAE">
        <w:rPr>
          <w:lang w:val="en-GB"/>
        </w:rPr>
        <w:t xml:space="preserve"> the</w:t>
      </w:r>
      <w:r w:rsidR="00017A89" w:rsidRPr="00A81AAE">
        <w:rPr>
          <w:lang w:val="en-GB"/>
        </w:rPr>
        <w:t xml:space="preserve"> use of a mixed method </w:t>
      </w:r>
      <w:r w:rsidR="001C06A9" w:rsidRPr="00A81AAE">
        <w:rPr>
          <w:lang w:val="en-GB"/>
        </w:rPr>
        <w:t>approach</w:t>
      </w:r>
      <w:r w:rsidR="00017A89" w:rsidRPr="00A81AAE">
        <w:rPr>
          <w:lang w:val="en-GB"/>
        </w:rPr>
        <w:t xml:space="preserve">. </w:t>
      </w:r>
      <w:r w:rsidRPr="00A81AAE">
        <w:rPr>
          <w:lang w:val="en-GB"/>
        </w:rPr>
        <w:tab/>
      </w:r>
      <w:r w:rsidR="00017A89" w:rsidRPr="00A81AAE">
        <w:rPr>
          <w:lang w:val="en-GB"/>
        </w:rPr>
        <w:t xml:space="preserve">“This employs </w:t>
      </w:r>
      <w:r w:rsidR="00AE27EB" w:rsidRPr="00A81AAE">
        <w:rPr>
          <w:lang w:val="en-GB"/>
        </w:rPr>
        <w:t xml:space="preserve">strategies of inquiry that involve collecting data either simultaneously or </w:t>
      </w:r>
      <w:r w:rsidRPr="00A81AAE">
        <w:rPr>
          <w:lang w:val="en-GB"/>
        </w:rPr>
        <w:tab/>
      </w:r>
      <w:r w:rsidR="00AE27EB" w:rsidRPr="00A81AAE">
        <w:rPr>
          <w:lang w:val="en-GB"/>
        </w:rPr>
        <w:t>sequentially to best understand research problems. The</w:t>
      </w:r>
      <w:r w:rsidR="00017A89" w:rsidRPr="00A81AAE">
        <w:rPr>
          <w:lang w:val="en-GB"/>
        </w:rPr>
        <w:t xml:space="preserve"> data collection also involves </w:t>
      </w:r>
      <w:r w:rsidRPr="00A81AAE">
        <w:rPr>
          <w:lang w:val="en-GB"/>
        </w:rPr>
        <w:tab/>
      </w:r>
      <w:r w:rsidR="00017A89" w:rsidRPr="00A81AAE">
        <w:rPr>
          <w:lang w:val="en-GB"/>
        </w:rPr>
        <w:t xml:space="preserve">gathering both numeric information (e.g., on instruments) as well as text information (e.g., </w:t>
      </w:r>
      <w:r w:rsidRPr="00A81AAE">
        <w:rPr>
          <w:lang w:val="en-GB"/>
        </w:rPr>
        <w:tab/>
      </w:r>
      <w:r w:rsidR="00017A89" w:rsidRPr="00A81AAE">
        <w:rPr>
          <w:lang w:val="en-GB"/>
        </w:rPr>
        <w:t xml:space="preserve">on interviews) so that the final database represents both quantitative and qualitative </w:t>
      </w:r>
      <w:r w:rsidRPr="00A81AAE">
        <w:rPr>
          <w:lang w:val="en-GB"/>
        </w:rPr>
        <w:tab/>
      </w:r>
      <w:r w:rsidR="00017A89" w:rsidRPr="00A81AAE">
        <w:rPr>
          <w:lang w:val="en-GB"/>
        </w:rPr>
        <w:t>information” (</w:t>
      </w:r>
      <w:r w:rsidR="008E1D4F" w:rsidRPr="00A81AAE">
        <w:rPr>
          <w:lang w:val="en-GB"/>
        </w:rPr>
        <w:t>Creswell, 2003: 18)</w:t>
      </w:r>
      <w:r w:rsidR="00017A89" w:rsidRPr="00A81AAE">
        <w:rPr>
          <w:lang w:val="en-GB"/>
        </w:rPr>
        <w:t xml:space="preserve">. </w:t>
      </w:r>
      <w:r w:rsidR="006A494A" w:rsidRPr="00A81AAE">
        <w:rPr>
          <w:lang w:val="en-GB"/>
        </w:rPr>
        <w:t>“</w:t>
      </w:r>
      <w:r w:rsidR="00017A89" w:rsidRPr="00A81AAE">
        <w:rPr>
          <w:lang w:val="en-GB"/>
        </w:rPr>
        <w:t xml:space="preserve">A mixed methods approach is one in which the </w:t>
      </w:r>
      <w:r w:rsidRPr="00A81AAE">
        <w:rPr>
          <w:lang w:val="en-GB"/>
        </w:rPr>
        <w:tab/>
      </w:r>
      <w:r w:rsidR="00017A89" w:rsidRPr="00A81AAE">
        <w:rPr>
          <w:lang w:val="en-GB"/>
        </w:rPr>
        <w:t xml:space="preserve">researcher tends to base knowledge </w:t>
      </w:r>
      <w:r w:rsidR="006A494A" w:rsidRPr="00A81AAE">
        <w:rPr>
          <w:lang w:val="en-GB"/>
        </w:rPr>
        <w:t>claims on pragmatic grounds, for instance</w:t>
      </w:r>
      <w:r w:rsidR="00017A89" w:rsidRPr="00A81AAE">
        <w:rPr>
          <w:lang w:val="en-GB"/>
        </w:rPr>
        <w:t xml:space="preserve">, </w:t>
      </w:r>
      <w:r w:rsidRPr="00A81AAE">
        <w:rPr>
          <w:lang w:val="en-GB"/>
        </w:rPr>
        <w:tab/>
      </w:r>
      <w:r w:rsidR="00017A89" w:rsidRPr="00A81AAE">
        <w:rPr>
          <w:lang w:val="en-GB"/>
        </w:rPr>
        <w:t>consequence-oriented, problem-</w:t>
      </w:r>
      <w:r w:rsidR="009D589E" w:rsidRPr="00A81AAE">
        <w:rPr>
          <w:lang w:val="en-GB"/>
        </w:rPr>
        <w:t>centred</w:t>
      </w:r>
      <w:r w:rsidR="00017A89" w:rsidRPr="00A81AAE">
        <w:rPr>
          <w:lang w:val="en-GB"/>
        </w:rPr>
        <w:t>, and p</w:t>
      </w:r>
      <w:r w:rsidR="006A494A" w:rsidRPr="00A81AAE">
        <w:rPr>
          <w:lang w:val="en-GB"/>
        </w:rPr>
        <w:t xml:space="preserve">luralistic” </w:t>
      </w:r>
      <w:r w:rsidR="008E1D4F" w:rsidRPr="00A81AAE">
        <w:rPr>
          <w:lang w:val="en-GB"/>
        </w:rPr>
        <w:t>(Creswell, 2003: 18)</w:t>
      </w:r>
      <w:r w:rsidR="00017A89" w:rsidRPr="00A81AAE">
        <w:rPr>
          <w:lang w:val="en-GB"/>
        </w:rPr>
        <w:t xml:space="preserve">. </w:t>
      </w:r>
    </w:p>
    <w:p w:rsidR="009D589E" w:rsidRPr="00A81AAE" w:rsidRDefault="009D589E" w:rsidP="009D589E">
      <w:pPr>
        <w:spacing w:after="0" w:line="360" w:lineRule="auto"/>
        <w:rPr>
          <w:lang w:val="en-GB"/>
        </w:rPr>
      </w:pPr>
    </w:p>
    <w:p w:rsidR="002B02EE" w:rsidRPr="00A81AAE" w:rsidRDefault="00777F92" w:rsidP="009D589E">
      <w:pPr>
        <w:spacing w:after="0" w:line="360" w:lineRule="auto"/>
        <w:rPr>
          <w:lang w:val="en-GB"/>
        </w:rPr>
      </w:pPr>
      <w:r w:rsidRPr="00A81AAE">
        <w:rPr>
          <w:lang w:val="en-GB"/>
        </w:rPr>
        <w:tab/>
      </w:r>
      <w:r w:rsidR="003143DD" w:rsidRPr="00A81AAE">
        <w:rPr>
          <w:lang w:val="en-GB"/>
        </w:rPr>
        <w:t xml:space="preserve">Thus, for this research, the Pragmatism Paradigm will be employed. In this, the researchers </w:t>
      </w:r>
      <w:r w:rsidRPr="00A81AAE">
        <w:rPr>
          <w:lang w:val="en-GB"/>
        </w:rPr>
        <w:tab/>
      </w:r>
      <w:r w:rsidR="003143DD" w:rsidRPr="00A81AAE">
        <w:rPr>
          <w:lang w:val="en-GB"/>
        </w:rPr>
        <w:t xml:space="preserve">start off with the research questions to determine the research framework instead of </w:t>
      </w:r>
      <w:r w:rsidRPr="00A81AAE">
        <w:rPr>
          <w:lang w:val="en-GB"/>
        </w:rPr>
        <w:tab/>
      </w:r>
      <w:r w:rsidR="003143DD" w:rsidRPr="00A81AAE">
        <w:rPr>
          <w:lang w:val="en-GB"/>
        </w:rPr>
        <w:t>questioning ontology and epistemology</w:t>
      </w:r>
      <w:r w:rsidR="008E1D4F" w:rsidRPr="00A81AAE">
        <w:rPr>
          <w:lang w:val="en-GB"/>
        </w:rPr>
        <w:t xml:space="preserve">. It also believes that objective and subjective </w:t>
      </w:r>
      <w:r w:rsidRPr="00A81AAE">
        <w:rPr>
          <w:lang w:val="en-GB"/>
        </w:rPr>
        <w:tab/>
      </w:r>
      <w:r w:rsidR="008E1D4F" w:rsidRPr="00A81AAE">
        <w:rPr>
          <w:lang w:val="en-GB"/>
        </w:rPr>
        <w:t xml:space="preserve">perspectives are mutually exclusive and believes to use what works best to address the </w:t>
      </w:r>
      <w:r w:rsidRPr="00A81AAE">
        <w:rPr>
          <w:lang w:val="en-GB"/>
        </w:rPr>
        <w:lastRenderedPageBreak/>
        <w:tab/>
      </w:r>
      <w:r w:rsidR="008E1D4F" w:rsidRPr="00A81AAE">
        <w:rPr>
          <w:lang w:val="en-GB"/>
        </w:rPr>
        <w:t xml:space="preserve">research problem. Finally, the pragmatism paradigm uses both qualitative and </w:t>
      </w:r>
      <w:r w:rsidR="002B02EE" w:rsidRPr="00A81AAE">
        <w:rPr>
          <w:lang w:val="en-GB"/>
        </w:rPr>
        <w:t xml:space="preserve">quantitative </w:t>
      </w:r>
      <w:r w:rsidRPr="00A81AAE">
        <w:rPr>
          <w:lang w:val="en-GB"/>
        </w:rPr>
        <w:tab/>
      </w:r>
      <w:r w:rsidR="002B02EE" w:rsidRPr="00A81AAE">
        <w:rPr>
          <w:lang w:val="en-GB"/>
        </w:rPr>
        <w:t>data</w:t>
      </w:r>
      <w:r w:rsidR="008E1D4F" w:rsidRPr="00A81AAE">
        <w:rPr>
          <w:lang w:val="en-GB"/>
        </w:rPr>
        <w:t xml:space="preserve">. </w:t>
      </w:r>
    </w:p>
    <w:p w:rsidR="009D589E" w:rsidRPr="00A81AAE" w:rsidRDefault="009D589E" w:rsidP="009D589E">
      <w:pPr>
        <w:spacing w:after="0" w:line="360" w:lineRule="auto"/>
        <w:rPr>
          <w:lang w:val="en-GB"/>
        </w:rPr>
      </w:pPr>
    </w:p>
    <w:p w:rsidR="002B02EE" w:rsidRPr="00A81AAE" w:rsidRDefault="00777F92" w:rsidP="009D589E">
      <w:pPr>
        <w:spacing w:after="0" w:line="360" w:lineRule="auto"/>
        <w:rPr>
          <w:rFonts w:cs="Calibri"/>
          <w:b/>
          <w:bCs/>
          <w:sz w:val="26"/>
          <w:szCs w:val="26"/>
          <w:lang w:val="en-GB"/>
        </w:rPr>
      </w:pPr>
      <w:r w:rsidRPr="00A81AAE">
        <w:rPr>
          <w:rFonts w:cs="Calibri"/>
          <w:b/>
          <w:bCs/>
          <w:sz w:val="26"/>
          <w:szCs w:val="26"/>
          <w:lang w:val="en-GB"/>
        </w:rPr>
        <w:tab/>
      </w:r>
      <w:r w:rsidR="00024466" w:rsidRPr="00A81AAE">
        <w:rPr>
          <w:rFonts w:cs="Calibri"/>
          <w:b/>
          <w:bCs/>
          <w:sz w:val="26"/>
          <w:szCs w:val="26"/>
          <w:lang w:val="en-GB"/>
        </w:rPr>
        <w:t>6.4 Establishing</w:t>
      </w:r>
      <w:r w:rsidR="002B02EE" w:rsidRPr="00A81AAE">
        <w:rPr>
          <w:rFonts w:cs="Calibri"/>
          <w:b/>
          <w:bCs/>
          <w:sz w:val="26"/>
          <w:szCs w:val="26"/>
          <w:lang w:val="en-GB"/>
        </w:rPr>
        <w:t xml:space="preserve"> Quality </w:t>
      </w:r>
    </w:p>
    <w:p w:rsidR="002B02EE" w:rsidRPr="00A81AAE" w:rsidRDefault="00777F92" w:rsidP="009D589E">
      <w:pPr>
        <w:spacing w:after="0" w:line="360" w:lineRule="auto"/>
        <w:rPr>
          <w:lang w:val="en-GB"/>
        </w:rPr>
      </w:pPr>
      <w:r w:rsidRPr="00A81AAE">
        <w:rPr>
          <w:rFonts w:cs="Calibri"/>
          <w:lang w:val="en-GB"/>
        </w:rPr>
        <w:tab/>
      </w:r>
      <w:r w:rsidR="002B02EE" w:rsidRPr="00A81AAE">
        <w:rPr>
          <w:rFonts w:cs="Calibri"/>
          <w:lang w:val="en-GB"/>
        </w:rPr>
        <w:t xml:space="preserve">Triangulation will be used for the findings to be noteworthy and suitable in order to have a </w:t>
      </w:r>
      <w:r w:rsidRPr="00A81AAE">
        <w:rPr>
          <w:rFonts w:cs="Calibri"/>
          <w:lang w:val="en-GB"/>
        </w:rPr>
        <w:tab/>
      </w:r>
      <w:r w:rsidR="002B02EE" w:rsidRPr="00A81AAE">
        <w:rPr>
          <w:rFonts w:cs="Calibri"/>
          <w:lang w:val="en-GB"/>
        </w:rPr>
        <w:t>research which is of appropriate quality and valid</w:t>
      </w:r>
      <w:r w:rsidR="001C06A9" w:rsidRPr="00A81AAE">
        <w:rPr>
          <w:rFonts w:cs="Calibri"/>
          <w:lang w:val="en-GB"/>
        </w:rPr>
        <w:t>ity</w:t>
      </w:r>
      <w:r w:rsidR="002B02EE" w:rsidRPr="00A81AAE">
        <w:rPr>
          <w:rFonts w:cs="Calibri"/>
          <w:lang w:val="en-GB"/>
        </w:rPr>
        <w:t>.</w:t>
      </w:r>
      <w:r w:rsidR="009D589E" w:rsidRPr="00A81AAE">
        <w:rPr>
          <w:rFonts w:cs="Calibri"/>
          <w:lang w:val="en-GB"/>
        </w:rPr>
        <w:t xml:space="preserve"> </w:t>
      </w:r>
      <w:r w:rsidR="001C7A18" w:rsidRPr="00A81AAE">
        <w:rPr>
          <w:lang w:val="en-GB"/>
        </w:rPr>
        <w:t xml:space="preserve">Triangulation is “essentially a </w:t>
      </w:r>
      <w:r w:rsidR="001C06A9" w:rsidRPr="00A81AAE">
        <w:rPr>
          <w:lang w:val="en-GB"/>
        </w:rPr>
        <w:tab/>
      </w:r>
      <w:r w:rsidR="001C7A18" w:rsidRPr="00A81AAE">
        <w:rPr>
          <w:lang w:val="en-GB"/>
        </w:rPr>
        <w:t>strategy</w:t>
      </w:r>
      <w:r w:rsidR="001C06A9" w:rsidRPr="00A81AAE">
        <w:rPr>
          <w:lang w:val="en-GB"/>
        </w:rPr>
        <w:t xml:space="preserve"> </w:t>
      </w:r>
      <w:r w:rsidR="001C7A18" w:rsidRPr="00A81AAE">
        <w:rPr>
          <w:lang w:val="en-GB"/>
        </w:rPr>
        <w:t xml:space="preserve">that will aid in the elimination of bias and allow the dismissal of plausible rival </w:t>
      </w:r>
      <w:r w:rsidR="009D589E" w:rsidRPr="00A81AAE">
        <w:rPr>
          <w:lang w:val="en-GB"/>
        </w:rPr>
        <w:tab/>
      </w:r>
      <w:r w:rsidR="001C7A18" w:rsidRPr="00A81AAE">
        <w:rPr>
          <w:lang w:val="en-GB"/>
        </w:rPr>
        <w:t xml:space="preserve">explanations such that a truthful proposition about some social phenomenon can be </w:t>
      </w:r>
      <w:r w:rsidR="009D589E" w:rsidRPr="00A81AAE">
        <w:rPr>
          <w:lang w:val="en-GB"/>
        </w:rPr>
        <w:tab/>
      </w:r>
      <w:r w:rsidR="001C7A18" w:rsidRPr="00A81AAE">
        <w:rPr>
          <w:lang w:val="en-GB"/>
        </w:rPr>
        <w:t xml:space="preserve">made” </w:t>
      </w:r>
      <w:r w:rsidR="009D589E" w:rsidRPr="00A81AAE">
        <w:rPr>
          <w:lang w:val="en-GB"/>
        </w:rPr>
        <w:tab/>
      </w:r>
      <w:r w:rsidR="00D91CEC" w:rsidRPr="00A81AAE">
        <w:rPr>
          <w:lang w:val="en-GB"/>
        </w:rPr>
        <w:t>(</w:t>
      </w:r>
      <w:proofErr w:type="spellStart"/>
      <w:r w:rsidR="00D91CEC" w:rsidRPr="00A81AAE">
        <w:rPr>
          <w:lang w:val="en-GB"/>
        </w:rPr>
        <w:t>Mathison</w:t>
      </w:r>
      <w:proofErr w:type="spellEnd"/>
      <w:r w:rsidR="00D91CEC" w:rsidRPr="00A81AAE">
        <w:rPr>
          <w:lang w:val="en-GB"/>
        </w:rPr>
        <w:t xml:space="preserve">, 1988: 13). </w:t>
      </w:r>
      <w:r w:rsidR="001C7A18" w:rsidRPr="00A81AAE">
        <w:rPr>
          <w:lang w:val="en-GB"/>
        </w:rPr>
        <w:t>According to Patton (</w:t>
      </w:r>
      <w:r w:rsidR="004679F1" w:rsidRPr="00A81AAE">
        <w:rPr>
          <w:lang w:val="en-GB"/>
        </w:rPr>
        <w:t xml:space="preserve">1980: </w:t>
      </w:r>
      <w:r w:rsidR="001C7A18" w:rsidRPr="00A81AAE">
        <w:rPr>
          <w:lang w:val="en-GB"/>
        </w:rPr>
        <w:t xml:space="preserve">330), </w:t>
      </w:r>
      <w:r w:rsidR="00C14B54" w:rsidRPr="00A81AAE">
        <w:rPr>
          <w:lang w:val="en-GB"/>
        </w:rPr>
        <w:t xml:space="preserve">“the point of triangulation </w:t>
      </w:r>
      <w:r w:rsidR="001C7A18" w:rsidRPr="00A81AAE">
        <w:rPr>
          <w:lang w:val="en-GB"/>
        </w:rPr>
        <w:t xml:space="preserve">is to </w:t>
      </w:r>
      <w:r w:rsidR="009D589E" w:rsidRPr="00A81AAE">
        <w:rPr>
          <w:lang w:val="en-GB"/>
        </w:rPr>
        <w:tab/>
      </w:r>
      <w:r w:rsidR="001C7A18" w:rsidRPr="00A81AAE">
        <w:rPr>
          <w:lang w:val="en-GB"/>
        </w:rPr>
        <w:t xml:space="preserve">study and understand when and why there are differences”. </w:t>
      </w:r>
      <w:proofErr w:type="spellStart"/>
      <w:r w:rsidR="00D142A7" w:rsidRPr="00A81AAE">
        <w:rPr>
          <w:lang w:val="en-GB"/>
        </w:rPr>
        <w:t>Mathison</w:t>
      </w:r>
      <w:proofErr w:type="spellEnd"/>
      <w:r w:rsidR="00D142A7" w:rsidRPr="00A81AAE">
        <w:rPr>
          <w:lang w:val="en-GB"/>
        </w:rPr>
        <w:t xml:space="preserve"> (1988: 13</w:t>
      </w:r>
      <w:r w:rsidR="001C7A18" w:rsidRPr="00A81AAE">
        <w:rPr>
          <w:lang w:val="en-GB"/>
        </w:rPr>
        <w:t xml:space="preserve">) also </w:t>
      </w:r>
      <w:r w:rsidR="009D589E" w:rsidRPr="00A81AAE">
        <w:rPr>
          <w:lang w:val="en-GB"/>
        </w:rPr>
        <w:tab/>
      </w:r>
      <w:r w:rsidR="001C7A18" w:rsidRPr="00A81AAE">
        <w:rPr>
          <w:lang w:val="en-GB"/>
        </w:rPr>
        <w:t>suggest</w:t>
      </w:r>
      <w:r w:rsidR="002B1F03" w:rsidRPr="00A81AAE">
        <w:rPr>
          <w:lang w:val="en-GB"/>
        </w:rPr>
        <w:t>s</w:t>
      </w:r>
      <w:r w:rsidR="001C7A18" w:rsidRPr="00A81AAE">
        <w:rPr>
          <w:lang w:val="en-GB"/>
        </w:rPr>
        <w:t xml:space="preserve"> that </w:t>
      </w:r>
      <w:r w:rsidR="00DF38C7" w:rsidRPr="00A81AAE">
        <w:rPr>
          <w:lang w:val="en-GB"/>
        </w:rPr>
        <w:t>“</w:t>
      </w:r>
      <w:r w:rsidR="001C7A18" w:rsidRPr="00A81AAE">
        <w:rPr>
          <w:lang w:val="en-GB"/>
        </w:rPr>
        <w:t>the use of multi</w:t>
      </w:r>
      <w:r w:rsidR="001F66E3" w:rsidRPr="00A81AAE">
        <w:rPr>
          <w:lang w:val="en-GB"/>
        </w:rPr>
        <w:t xml:space="preserve"> </w:t>
      </w:r>
      <w:r w:rsidR="00C31681" w:rsidRPr="00A81AAE">
        <w:rPr>
          <w:lang w:val="en-GB"/>
        </w:rPr>
        <w:t xml:space="preserve">methods results in </w:t>
      </w:r>
      <w:r w:rsidR="001C7A18" w:rsidRPr="00A81AAE">
        <w:rPr>
          <w:lang w:val="en-GB"/>
        </w:rPr>
        <w:t>different im</w:t>
      </w:r>
      <w:r w:rsidR="001F66E3" w:rsidRPr="00A81AAE">
        <w:rPr>
          <w:lang w:val="en-GB"/>
        </w:rPr>
        <w:t>ages of understanding</w:t>
      </w:r>
      <w:r w:rsidR="001C7A18" w:rsidRPr="00A81AAE">
        <w:rPr>
          <w:lang w:val="en-GB"/>
        </w:rPr>
        <w:t xml:space="preserve"> </w:t>
      </w:r>
      <w:r w:rsidR="009D589E" w:rsidRPr="00A81AAE">
        <w:rPr>
          <w:lang w:val="en-GB"/>
        </w:rPr>
        <w:tab/>
      </w:r>
      <w:r w:rsidR="001C7A18" w:rsidRPr="00A81AAE">
        <w:rPr>
          <w:lang w:val="en-GB"/>
        </w:rPr>
        <w:t xml:space="preserve">thus </w:t>
      </w:r>
      <w:r w:rsidR="009D589E" w:rsidRPr="00A81AAE">
        <w:rPr>
          <w:lang w:val="en-GB"/>
        </w:rPr>
        <w:tab/>
      </w:r>
      <w:r w:rsidR="001C7A18" w:rsidRPr="00A81AAE">
        <w:rPr>
          <w:lang w:val="en-GB"/>
        </w:rPr>
        <w:t>increasing the “potency” of evaluation findings</w:t>
      </w:r>
      <w:r w:rsidR="00DF38C7" w:rsidRPr="00A81AAE">
        <w:rPr>
          <w:lang w:val="en-GB"/>
        </w:rPr>
        <w:t>.”</w:t>
      </w:r>
    </w:p>
    <w:p w:rsidR="001C7A18" w:rsidRPr="00A81AAE" w:rsidRDefault="001C7A18" w:rsidP="009D589E">
      <w:pPr>
        <w:pStyle w:val="ThesisBodytext1"/>
        <w:spacing w:line="360" w:lineRule="auto"/>
        <w:rPr>
          <w:rFonts w:asciiTheme="majorHAnsi" w:hAnsiTheme="majorHAnsi"/>
          <w:lang w:val="en-GB"/>
        </w:rPr>
      </w:pPr>
    </w:p>
    <w:p w:rsidR="001C7A18" w:rsidRPr="00A81AAE" w:rsidRDefault="00777F92" w:rsidP="009D589E">
      <w:pPr>
        <w:pStyle w:val="ThesisBodytext1"/>
        <w:spacing w:line="360" w:lineRule="auto"/>
        <w:rPr>
          <w:rFonts w:asciiTheme="majorHAnsi" w:hAnsiTheme="majorHAnsi" w:cs="Calibri"/>
          <w:b/>
          <w:bCs/>
          <w:sz w:val="26"/>
          <w:szCs w:val="26"/>
          <w:lang w:val="en-GB"/>
        </w:rPr>
      </w:pPr>
      <w:r w:rsidRPr="00A81AAE">
        <w:rPr>
          <w:rFonts w:asciiTheme="majorHAnsi" w:hAnsiTheme="majorHAnsi" w:cs="Calibri"/>
          <w:b/>
          <w:bCs/>
          <w:sz w:val="26"/>
          <w:szCs w:val="26"/>
          <w:lang w:val="en-GB"/>
        </w:rPr>
        <w:tab/>
      </w:r>
      <w:r w:rsidR="001C7A18" w:rsidRPr="00A81AAE">
        <w:rPr>
          <w:rFonts w:asciiTheme="majorHAnsi" w:hAnsiTheme="majorHAnsi" w:cs="Calibri"/>
          <w:b/>
          <w:bCs/>
          <w:sz w:val="26"/>
          <w:szCs w:val="26"/>
          <w:lang w:val="en-GB"/>
        </w:rPr>
        <w:t>6.5 Limitations</w:t>
      </w:r>
      <w:r w:rsidR="002B02EE" w:rsidRPr="00A81AAE">
        <w:rPr>
          <w:rFonts w:asciiTheme="majorHAnsi" w:hAnsiTheme="majorHAnsi" w:cs="Calibri"/>
          <w:b/>
          <w:bCs/>
          <w:sz w:val="26"/>
          <w:szCs w:val="26"/>
          <w:lang w:val="en-GB"/>
        </w:rPr>
        <w:t xml:space="preserve"> </w:t>
      </w:r>
      <w:r w:rsidR="001C7A18" w:rsidRPr="00A81AAE">
        <w:rPr>
          <w:rFonts w:asciiTheme="majorHAnsi" w:hAnsiTheme="majorHAnsi" w:cs="Calibri"/>
          <w:b/>
          <w:bCs/>
          <w:sz w:val="26"/>
          <w:szCs w:val="26"/>
          <w:lang w:val="en-GB"/>
        </w:rPr>
        <w:t>and Delimitations</w:t>
      </w:r>
    </w:p>
    <w:p w:rsidR="001C7A18" w:rsidRPr="00A81AAE" w:rsidRDefault="001C7A18" w:rsidP="009D589E">
      <w:pPr>
        <w:pStyle w:val="ThesisBodytext1"/>
        <w:spacing w:line="360" w:lineRule="auto"/>
        <w:rPr>
          <w:rFonts w:asciiTheme="majorHAnsi" w:hAnsiTheme="majorHAnsi" w:cs="Calibri"/>
          <w:b/>
          <w:bCs/>
          <w:lang w:val="en-GB"/>
        </w:rPr>
      </w:pPr>
    </w:p>
    <w:p w:rsidR="002B02EE" w:rsidRPr="00A81AAE" w:rsidRDefault="00777F92" w:rsidP="009D589E">
      <w:pPr>
        <w:pStyle w:val="ThesisBodytext1"/>
        <w:spacing w:line="360" w:lineRule="auto"/>
        <w:rPr>
          <w:rFonts w:asciiTheme="majorHAnsi" w:hAnsiTheme="majorHAnsi" w:cs="Calibri"/>
          <w:b/>
          <w:bCs/>
          <w:lang w:val="en-GB"/>
        </w:rPr>
      </w:pPr>
      <w:r w:rsidRPr="00A81AAE">
        <w:rPr>
          <w:rFonts w:asciiTheme="majorHAnsi" w:hAnsiTheme="majorHAnsi" w:cs="Calibri"/>
          <w:b/>
          <w:bCs/>
          <w:lang w:val="en-GB"/>
        </w:rPr>
        <w:tab/>
      </w:r>
      <w:r w:rsidR="001C7A18" w:rsidRPr="00A81AAE">
        <w:rPr>
          <w:rFonts w:asciiTheme="majorHAnsi" w:hAnsiTheme="majorHAnsi" w:cs="Calibri"/>
          <w:b/>
          <w:bCs/>
          <w:lang w:val="en-GB"/>
        </w:rPr>
        <w:t>6.5.1 Limitations of</w:t>
      </w:r>
      <w:r w:rsidR="002B02EE" w:rsidRPr="00A81AAE">
        <w:rPr>
          <w:rFonts w:asciiTheme="majorHAnsi" w:hAnsiTheme="majorHAnsi" w:cs="Calibri"/>
          <w:b/>
          <w:bCs/>
          <w:lang w:val="en-GB"/>
        </w:rPr>
        <w:t xml:space="preserve"> the Study</w:t>
      </w:r>
      <w:bookmarkStart w:id="0" w:name="_Toc386396075"/>
      <w:bookmarkStart w:id="1" w:name="_Toc386396279"/>
      <w:bookmarkStart w:id="2" w:name="_Toc386396427"/>
      <w:bookmarkStart w:id="3" w:name="_Toc386396951"/>
      <w:bookmarkStart w:id="4" w:name="_Toc386398498"/>
      <w:bookmarkStart w:id="5" w:name="_Toc386398667"/>
      <w:bookmarkStart w:id="6" w:name="_Toc390113899"/>
      <w:bookmarkStart w:id="7" w:name="_Toc390113941"/>
      <w:bookmarkStart w:id="8" w:name="_Toc390114694"/>
      <w:bookmarkStart w:id="9" w:name="_Toc390114817"/>
      <w:bookmarkEnd w:id="0"/>
      <w:bookmarkEnd w:id="1"/>
      <w:bookmarkEnd w:id="2"/>
      <w:bookmarkEnd w:id="3"/>
      <w:bookmarkEnd w:id="4"/>
      <w:bookmarkEnd w:id="5"/>
      <w:bookmarkEnd w:id="6"/>
      <w:bookmarkEnd w:id="7"/>
      <w:bookmarkEnd w:id="8"/>
      <w:bookmarkEnd w:id="9"/>
    </w:p>
    <w:p w:rsidR="002B02EE" w:rsidRPr="00A81AAE" w:rsidRDefault="00777F92" w:rsidP="009D589E">
      <w:pPr>
        <w:pStyle w:val="ThesisBodytext1"/>
        <w:spacing w:line="360" w:lineRule="auto"/>
        <w:rPr>
          <w:rFonts w:asciiTheme="majorHAnsi" w:hAnsiTheme="majorHAnsi" w:cs="Calibri"/>
          <w:lang w:val="en-GB"/>
        </w:rPr>
      </w:pPr>
      <w:r w:rsidRPr="00A81AAE">
        <w:rPr>
          <w:rFonts w:asciiTheme="majorHAnsi" w:hAnsiTheme="majorHAnsi" w:cs="Calibri"/>
          <w:lang w:val="en-GB"/>
        </w:rPr>
        <w:tab/>
      </w:r>
      <w:r w:rsidR="002B02EE" w:rsidRPr="00A81AAE">
        <w:rPr>
          <w:rFonts w:asciiTheme="majorHAnsi" w:hAnsiTheme="majorHAnsi" w:cs="Calibri"/>
          <w:lang w:val="en-GB"/>
        </w:rPr>
        <w:t>Some limitations would be:</w:t>
      </w:r>
      <w:bookmarkStart w:id="10" w:name="_Toc390113900"/>
      <w:bookmarkStart w:id="11" w:name="_Toc390113942"/>
      <w:bookmarkStart w:id="12" w:name="_Toc390114695"/>
      <w:bookmarkStart w:id="13" w:name="_Toc390114818"/>
      <w:bookmarkEnd w:id="10"/>
      <w:bookmarkEnd w:id="11"/>
      <w:bookmarkEnd w:id="12"/>
      <w:bookmarkEnd w:id="13"/>
    </w:p>
    <w:p w:rsidR="002B02EE" w:rsidRPr="00A81AAE" w:rsidRDefault="002B02EE" w:rsidP="009D589E">
      <w:pPr>
        <w:pStyle w:val="Default"/>
        <w:numPr>
          <w:ilvl w:val="0"/>
          <w:numId w:val="8"/>
        </w:numPr>
        <w:adjustRightInd/>
        <w:spacing w:line="360" w:lineRule="auto"/>
        <w:jc w:val="both"/>
        <w:rPr>
          <w:rFonts w:asciiTheme="majorHAnsi" w:hAnsiTheme="majorHAnsi" w:cs="Calibri"/>
          <w:color w:val="auto"/>
          <w:lang w:val="en-GB"/>
        </w:rPr>
      </w:pPr>
      <w:r w:rsidRPr="00A81AAE">
        <w:rPr>
          <w:rFonts w:asciiTheme="majorHAnsi" w:hAnsiTheme="majorHAnsi" w:cs="Calibri"/>
          <w:color w:val="auto"/>
          <w:lang w:val="en-GB"/>
        </w:rPr>
        <w:t>Lack of appropriate local literature;</w:t>
      </w:r>
    </w:p>
    <w:p w:rsidR="002B02EE" w:rsidRPr="00A81AAE" w:rsidRDefault="002B02EE" w:rsidP="009D589E">
      <w:pPr>
        <w:pStyle w:val="Heading2"/>
        <w:numPr>
          <w:ilvl w:val="0"/>
          <w:numId w:val="9"/>
        </w:numPr>
        <w:spacing w:before="0" w:line="360" w:lineRule="auto"/>
        <w:jc w:val="both"/>
        <w:rPr>
          <w:rFonts w:asciiTheme="majorHAnsi" w:eastAsia="Times New Roman" w:hAnsiTheme="majorHAnsi" w:cs="Calibri"/>
          <w:b/>
          <w:bCs/>
          <w:color w:val="auto"/>
          <w:sz w:val="24"/>
          <w:szCs w:val="24"/>
          <w:lang w:val="en-GB"/>
        </w:rPr>
      </w:pPr>
      <w:r w:rsidRPr="00A81AAE">
        <w:rPr>
          <w:rFonts w:asciiTheme="majorHAnsi" w:eastAsia="Times New Roman" w:hAnsiTheme="majorHAnsi" w:cs="Calibri"/>
          <w:color w:val="auto"/>
          <w:sz w:val="24"/>
          <w:szCs w:val="24"/>
          <w:lang w:val="en-GB"/>
        </w:rPr>
        <w:t>Some questionnaires may not be returned;</w:t>
      </w:r>
    </w:p>
    <w:p w:rsidR="002B02EE" w:rsidRPr="00A81AAE" w:rsidRDefault="002B02EE" w:rsidP="009D589E">
      <w:pPr>
        <w:pStyle w:val="Heading2"/>
        <w:numPr>
          <w:ilvl w:val="0"/>
          <w:numId w:val="9"/>
        </w:numPr>
        <w:spacing w:before="0" w:line="360" w:lineRule="auto"/>
        <w:jc w:val="both"/>
        <w:rPr>
          <w:rFonts w:asciiTheme="majorHAnsi" w:eastAsia="Times New Roman" w:hAnsiTheme="majorHAnsi" w:cs="Calibri"/>
          <w:color w:val="auto"/>
          <w:sz w:val="24"/>
          <w:szCs w:val="24"/>
          <w:lang w:val="en-GB"/>
        </w:rPr>
      </w:pPr>
      <w:r w:rsidRPr="00A81AAE">
        <w:rPr>
          <w:rFonts w:asciiTheme="majorHAnsi" w:eastAsia="Times New Roman" w:hAnsiTheme="majorHAnsi" w:cs="Calibri"/>
          <w:color w:val="auto"/>
          <w:sz w:val="24"/>
          <w:szCs w:val="24"/>
          <w:lang w:val="en-GB"/>
        </w:rPr>
        <w:t>Questionnaires may not be returned on time;</w:t>
      </w:r>
    </w:p>
    <w:p w:rsidR="002B02EE" w:rsidRPr="00A81AAE" w:rsidRDefault="002B02EE" w:rsidP="009D589E">
      <w:pPr>
        <w:pStyle w:val="Heading2"/>
        <w:numPr>
          <w:ilvl w:val="0"/>
          <w:numId w:val="9"/>
        </w:numPr>
        <w:spacing w:before="0" w:line="360" w:lineRule="auto"/>
        <w:jc w:val="both"/>
        <w:rPr>
          <w:rFonts w:asciiTheme="majorHAnsi" w:eastAsia="Times New Roman" w:hAnsiTheme="majorHAnsi"/>
          <w:color w:val="auto"/>
          <w:sz w:val="24"/>
          <w:szCs w:val="24"/>
          <w:lang w:val="en-GB"/>
        </w:rPr>
      </w:pPr>
      <w:r w:rsidRPr="00A81AAE">
        <w:rPr>
          <w:rFonts w:asciiTheme="majorHAnsi" w:eastAsia="Times New Roman" w:hAnsiTheme="majorHAnsi" w:cs="Calibri"/>
          <w:color w:val="auto"/>
          <w:sz w:val="24"/>
          <w:szCs w:val="24"/>
          <w:lang w:val="en-GB"/>
        </w:rPr>
        <w:t>Timing into the field</w:t>
      </w:r>
      <w:r w:rsidRPr="00A81AAE">
        <w:rPr>
          <w:rFonts w:asciiTheme="majorHAnsi" w:eastAsia="Times New Roman" w:hAnsiTheme="majorHAnsi"/>
          <w:color w:val="auto"/>
          <w:sz w:val="24"/>
          <w:szCs w:val="24"/>
          <w:lang w:val="en-GB"/>
        </w:rPr>
        <w:t xml:space="preserve"> not appropriate;</w:t>
      </w:r>
    </w:p>
    <w:p w:rsidR="002B02EE" w:rsidRPr="00A81AAE" w:rsidRDefault="002B02EE" w:rsidP="009D589E">
      <w:pPr>
        <w:pStyle w:val="ListParagraph"/>
        <w:numPr>
          <w:ilvl w:val="0"/>
          <w:numId w:val="9"/>
        </w:numPr>
        <w:spacing w:after="0" w:line="360" w:lineRule="auto"/>
        <w:contextualSpacing w:val="0"/>
        <w:rPr>
          <w:rFonts w:cs="Calibri"/>
          <w:lang w:val="en-GB"/>
        </w:rPr>
      </w:pPr>
      <w:r w:rsidRPr="00A81AAE">
        <w:rPr>
          <w:rFonts w:cs="Calibri"/>
          <w:lang w:val="en-GB"/>
        </w:rPr>
        <w:t xml:space="preserve">Only </w:t>
      </w:r>
      <w:r w:rsidR="00807B6C" w:rsidRPr="00A81AAE">
        <w:rPr>
          <w:rFonts w:cs="Calibri"/>
          <w:lang w:val="en-GB"/>
        </w:rPr>
        <w:t xml:space="preserve">one </w:t>
      </w:r>
      <w:r w:rsidRPr="00A81AAE">
        <w:rPr>
          <w:rFonts w:cs="Calibri"/>
          <w:lang w:val="en-GB"/>
        </w:rPr>
        <w:t>area studied; and</w:t>
      </w:r>
    </w:p>
    <w:p w:rsidR="002B02EE" w:rsidRPr="00A81AAE" w:rsidRDefault="002B02EE" w:rsidP="009D589E">
      <w:pPr>
        <w:pStyle w:val="ListParagraph"/>
        <w:numPr>
          <w:ilvl w:val="0"/>
          <w:numId w:val="9"/>
        </w:numPr>
        <w:spacing w:after="0" w:line="360" w:lineRule="auto"/>
        <w:contextualSpacing w:val="0"/>
        <w:rPr>
          <w:rFonts w:cs="Calibri"/>
          <w:lang w:val="en-GB"/>
        </w:rPr>
      </w:pPr>
      <w:r w:rsidRPr="00A81AAE">
        <w:rPr>
          <w:rFonts w:cs="Calibri"/>
          <w:lang w:val="en-GB"/>
        </w:rPr>
        <w:t>Unfavo</w:t>
      </w:r>
      <w:r w:rsidR="00807B6C" w:rsidRPr="00A81AAE">
        <w:rPr>
          <w:rFonts w:cs="Calibri"/>
          <w:lang w:val="en-GB"/>
        </w:rPr>
        <w:t>u</w:t>
      </w:r>
      <w:r w:rsidRPr="00A81AAE">
        <w:rPr>
          <w:rFonts w:cs="Calibri"/>
          <w:lang w:val="en-GB"/>
        </w:rPr>
        <w:t>rable weather conditions.</w:t>
      </w:r>
    </w:p>
    <w:p w:rsidR="001C7A18" w:rsidRPr="00A81AAE" w:rsidRDefault="001C7A18" w:rsidP="009D589E">
      <w:pPr>
        <w:pStyle w:val="ListParagraph"/>
        <w:spacing w:after="0" w:line="360" w:lineRule="auto"/>
        <w:contextualSpacing w:val="0"/>
        <w:rPr>
          <w:rFonts w:cs="Calibri"/>
          <w:lang w:val="en-GB"/>
        </w:rPr>
      </w:pPr>
    </w:p>
    <w:p w:rsidR="002B02EE" w:rsidRPr="00A81AAE" w:rsidRDefault="00777F92" w:rsidP="009D589E">
      <w:pPr>
        <w:spacing w:after="0" w:line="360" w:lineRule="auto"/>
        <w:rPr>
          <w:lang w:val="en-GB"/>
        </w:rPr>
      </w:pPr>
      <w:r w:rsidRPr="00A81AAE">
        <w:rPr>
          <w:b/>
          <w:bCs/>
          <w:lang w:val="en-GB"/>
        </w:rPr>
        <w:tab/>
      </w:r>
      <w:r w:rsidR="001C7A18" w:rsidRPr="00A81AAE">
        <w:rPr>
          <w:b/>
          <w:bCs/>
          <w:lang w:val="en-GB"/>
        </w:rPr>
        <w:t>6.5.2</w:t>
      </w:r>
      <w:r w:rsidR="002B02EE" w:rsidRPr="00A81AAE">
        <w:rPr>
          <w:b/>
          <w:bCs/>
          <w:lang w:val="en-GB"/>
        </w:rPr>
        <w:t xml:space="preserve"> Delimitations of the Study</w:t>
      </w:r>
    </w:p>
    <w:p w:rsidR="002B02EE" w:rsidRPr="00A81AAE" w:rsidRDefault="001C7A18" w:rsidP="009D589E">
      <w:pPr>
        <w:pStyle w:val="Default"/>
        <w:numPr>
          <w:ilvl w:val="0"/>
          <w:numId w:val="10"/>
        </w:numPr>
        <w:adjustRightInd/>
        <w:spacing w:line="360" w:lineRule="auto"/>
        <w:jc w:val="both"/>
        <w:rPr>
          <w:rFonts w:asciiTheme="majorHAnsi" w:hAnsiTheme="majorHAnsi" w:cs="Calibri"/>
          <w:color w:val="auto"/>
          <w:lang w:val="en-GB"/>
        </w:rPr>
      </w:pPr>
      <w:r w:rsidRPr="00A81AAE">
        <w:rPr>
          <w:rFonts w:asciiTheme="majorHAnsi" w:hAnsiTheme="majorHAnsi" w:cs="Calibri"/>
          <w:color w:val="auto"/>
          <w:lang w:val="en-GB"/>
        </w:rPr>
        <w:t xml:space="preserve">The </w:t>
      </w:r>
      <w:proofErr w:type="gramStart"/>
      <w:r w:rsidRPr="00A81AAE">
        <w:rPr>
          <w:rFonts w:asciiTheme="majorHAnsi" w:hAnsiTheme="majorHAnsi" w:cs="Calibri"/>
          <w:color w:val="auto"/>
          <w:lang w:val="en-GB"/>
        </w:rPr>
        <w:t>areas under study are easily accessible</w:t>
      </w:r>
      <w:r w:rsidR="00807B6C" w:rsidRPr="00A81AAE">
        <w:rPr>
          <w:rFonts w:asciiTheme="majorHAnsi" w:hAnsiTheme="majorHAnsi" w:cs="Calibri"/>
          <w:color w:val="auto"/>
          <w:lang w:val="en-GB"/>
        </w:rPr>
        <w:t xml:space="preserve"> and allows</w:t>
      </w:r>
      <w:proofErr w:type="gramEnd"/>
      <w:r w:rsidR="00807B6C" w:rsidRPr="00A81AAE">
        <w:rPr>
          <w:rFonts w:asciiTheme="majorHAnsi" w:hAnsiTheme="majorHAnsi" w:cs="Calibri"/>
          <w:color w:val="auto"/>
          <w:lang w:val="en-GB"/>
        </w:rPr>
        <w:t xml:space="preserve"> the three researchers to meet on a regular basis.</w:t>
      </w:r>
    </w:p>
    <w:p w:rsidR="001C7A18" w:rsidRPr="00A81AAE" w:rsidRDefault="001C7A18" w:rsidP="009D589E">
      <w:pPr>
        <w:pStyle w:val="Default"/>
        <w:adjustRightInd/>
        <w:spacing w:line="360" w:lineRule="auto"/>
        <w:ind w:left="720"/>
        <w:jc w:val="both"/>
        <w:rPr>
          <w:rFonts w:asciiTheme="majorHAnsi" w:hAnsiTheme="majorHAnsi" w:cs="Calibri"/>
          <w:color w:val="auto"/>
          <w:lang w:val="en-GB"/>
        </w:rPr>
      </w:pPr>
    </w:p>
    <w:p w:rsidR="004719C0" w:rsidRPr="00A81AAE" w:rsidRDefault="00777F92" w:rsidP="009D589E">
      <w:pPr>
        <w:spacing w:after="0" w:line="360" w:lineRule="auto"/>
        <w:rPr>
          <w:rFonts w:cs="Calibri"/>
          <w:sz w:val="26"/>
          <w:szCs w:val="26"/>
          <w:lang w:val="en-GB"/>
        </w:rPr>
      </w:pPr>
      <w:r w:rsidRPr="00A81AAE">
        <w:rPr>
          <w:rFonts w:cs="Calibri"/>
          <w:b/>
          <w:sz w:val="26"/>
          <w:szCs w:val="26"/>
          <w:lang w:val="en-GB"/>
        </w:rPr>
        <w:tab/>
      </w:r>
      <w:r w:rsidR="00C77A3A" w:rsidRPr="00A81AAE">
        <w:rPr>
          <w:rFonts w:cs="Calibri"/>
          <w:b/>
          <w:sz w:val="26"/>
          <w:szCs w:val="26"/>
          <w:lang w:val="en-GB"/>
        </w:rPr>
        <w:t>6.4</w:t>
      </w:r>
      <w:r w:rsidR="004719C0" w:rsidRPr="00A81AAE">
        <w:rPr>
          <w:rFonts w:cs="Calibri"/>
          <w:b/>
          <w:sz w:val="26"/>
          <w:szCs w:val="26"/>
          <w:lang w:val="en-GB"/>
        </w:rPr>
        <w:t xml:space="preserve"> Ethical Considerations</w:t>
      </w:r>
    </w:p>
    <w:p w:rsidR="004719C0" w:rsidRPr="00A81AAE" w:rsidRDefault="00777F92" w:rsidP="009D589E">
      <w:pPr>
        <w:pStyle w:val="Default"/>
        <w:spacing w:line="360" w:lineRule="auto"/>
        <w:ind w:left="-450"/>
        <w:jc w:val="both"/>
        <w:rPr>
          <w:rFonts w:asciiTheme="majorHAnsi" w:hAnsiTheme="majorHAnsi"/>
          <w:color w:val="auto"/>
          <w:lang w:val="en-GB"/>
        </w:rPr>
      </w:pPr>
      <w:r w:rsidRPr="00A81AAE">
        <w:rPr>
          <w:rFonts w:asciiTheme="majorHAnsi" w:hAnsiTheme="majorHAnsi"/>
          <w:color w:val="auto"/>
          <w:lang w:val="en-GB"/>
        </w:rPr>
        <w:lastRenderedPageBreak/>
        <w:tab/>
      </w:r>
      <w:r w:rsidR="004719C0" w:rsidRPr="00A81AAE">
        <w:rPr>
          <w:rFonts w:asciiTheme="majorHAnsi" w:hAnsiTheme="majorHAnsi"/>
          <w:color w:val="auto"/>
          <w:lang w:val="en-GB"/>
        </w:rPr>
        <w:t xml:space="preserve">Ethical issues will be taken into </w:t>
      </w:r>
      <w:r w:rsidR="004F1866" w:rsidRPr="00A81AAE">
        <w:rPr>
          <w:rFonts w:asciiTheme="majorHAnsi" w:hAnsiTheme="majorHAnsi"/>
          <w:color w:val="auto"/>
          <w:lang w:val="en-GB"/>
        </w:rPr>
        <w:t xml:space="preserve">consideration throughout this </w:t>
      </w:r>
      <w:r w:rsidR="004719C0" w:rsidRPr="00A81AAE">
        <w:rPr>
          <w:rFonts w:asciiTheme="majorHAnsi" w:hAnsiTheme="majorHAnsi"/>
          <w:color w:val="auto"/>
          <w:lang w:val="en-GB"/>
        </w:rPr>
        <w:t xml:space="preserve">research. As </w:t>
      </w:r>
      <w:r w:rsidR="004F1866" w:rsidRPr="00A81AAE">
        <w:rPr>
          <w:rFonts w:asciiTheme="majorHAnsi" w:hAnsiTheme="majorHAnsi"/>
          <w:color w:val="auto"/>
          <w:lang w:val="en-GB"/>
        </w:rPr>
        <w:t xml:space="preserve">stated by </w:t>
      </w:r>
      <w:r w:rsidR="004F1866" w:rsidRPr="00A81AAE">
        <w:rPr>
          <w:rFonts w:asciiTheme="majorHAnsi" w:hAnsiTheme="majorHAnsi"/>
          <w:noProof/>
          <w:color w:val="auto"/>
          <w:lang w:val="en-GB"/>
        </w:rPr>
        <w:t>Hesse-</w:t>
      </w:r>
      <w:r w:rsidRPr="00A81AAE">
        <w:rPr>
          <w:rFonts w:asciiTheme="majorHAnsi" w:hAnsiTheme="majorHAnsi"/>
          <w:noProof/>
          <w:color w:val="auto"/>
          <w:lang w:val="en-GB"/>
        </w:rPr>
        <w:tab/>
      </w:r>
      <w:r w:rsidR="004F1866" w:rsidRPr="00A81AAE">
        <w:rPr>
          <w:rFonts w:asciiTheme="majorHAnsi" w:hAnsiTheme="majorHAnsi"/>
          <w:noProof/>
          <w:color w:val="auto"/>
          <w:lang w:val="en-GB"/>
        </w:rPr>
        <w:t xml:space="preserve">Bieber and </w:t>
      </w:r>
      <w:r w:rsidR="004719C0" w:rsidRPr="00A81AAE">
        <w:rPr>
          <w:rFonts w:asciiTheme="majorHAnsi" w:hAnsiTheme="majorHAnsi"/>
          <w:noProof/>
          <w:color w:val="auto"/>
          <w:lang w:val="en-GB"/>
        </w:rPr>
        <w:t>Leavy</w:t>
      </w:r>
      <w:r w:rsidR="004F1866" w:rsidRPr="00A81AAE">
        <w:rPr>
          <w:rFonts w:asciiTheme="majorHAnsi" w:hAnsiTheme="majorHAnsi"/>
          <w:noProof/>
          <w:color w:val="auto"/>
          <w:lang w:val="en-GB"/>
        </w:rPr>
        <w:t xml:space="preserve"> (</w:t>
      </w:r>
      <w:r w:rsidR="004719C0" w:rsidRPr="00A81AAE">
        <w:rPr>
          <w:rFonts w:asciiTheme="majorHAnsi" w:hAnsiTheme="majorHAnsi"/>
          <w:noProof/>
          <w:color w:val="auto"/>
          <w:lang w:val="en-GB"/>
        </w:rPr>
        <w:t>2006)</w:t>
      </w:r>
      <w:r w:rsidR="004719C0" w:rsidRPr="00A81AAE">
        <w:rPr>
          <w:rFonts w:asciiTheme="majorHAnsi" w:hAnsiTheme="majorHAnsi"/>
          <w:color w:val="auto"/>
          <w:lang w:val="en-GB"/>
        </w:rPr>
        <w:t xml:space="preserve"> “</w:t>
      </w:r>
      <w:r w:rsidR="004719C0" w:rsidRPr="00A81AAE">
        <w:rPr>
          <w:rFonts w:asciiTheme="majorHAnsi" w:hAnsiTheme="majorHAnsi"/>
          <w:i/>
          <w:color w:val="auto"/>
          <w:lang w:val="en-GB"/>
        </w:rPr>
        <w:t xml:space="preserve">The participants have not been identified in order to maintain </w:t>
      </w:r>
      <w:r w:rsidRPr="00A81AAE">
        <w:rPr>
          <w:rFonts w:asciiTheme="majorHAnsi" w:hAnsiTheme="majorHAnsi"/>
          <w:i/>
          <w:color w:val="auto"/>
          <w:lang w:val="en-GB"/>
        </w:rPr>
        <w:tab/>
      </w:r>
      <w:r w:rsidR="004719C0" w:rsidRPr="00A81AAE">
        <w:rPr>
          <w:rFonts w:asciiTheme="majorHAnsi" w:hAnsiTheme="majorHAnsi"/>
          <w:i/>
          <w:color w:val="auto"/>
          <w:lang w:val="en-GB"/>
        </w:rPr>
        <w:t>confidentially and anonymity of the participants”.</w:t>
      </w:r>
      <w:r w:rsidR="004719C0" w:rsidRPr="00A81AAE">
        <w:rPr>
          <w:rFonts w:asciiTheme="majorHAnsi" w:hAnsiTheme="majorHAnsi"/>
          <w:color w:val="auto"/>
          <w:lang w:val="en-GB"/>
        </w:rPr>
        <w:t xml:space="preserve"> </w:t>
      </w:r>
      <w:r w:rsidR="004F1866" w:rsidRPr="00A81AAE">
        <w:rPr>
          <w:rFonts w:asciiTheme="majorHAnsi" w:hAnsiTheme="majorHAnsi"/>
          <w:color w:val="auto"/>
          <w:lang w:val="en-GB"/>
        </w:rPr>
        <w:t xml:space="preserve">Participants will be thoroughly </w:t>
      </w:r>
      <w:r w:rsidR="004719C0" w:rsidRPr="00A81AAE">
        <w:rPr>
          <w:rFonts w:asciiTheme="majorHAnsi" w:hAnsiTheme="majorHAnsi"/>
          <w:color w:val="auto"/>
          <w:lang w:val="en-GB"/>
        </w:rPr>
        <w:t xml:space="preserve">explained </w:t>
      </w:r>
      <w:r w:rsidRPr="00A81AAE">
        <w:rPr>
          <w:rFonts w:asciiTheme="majorHAnsi" w:hAnsiTheme="majorHAnsi"/>
          <w:color w:val="auto"/>
          <w:lang w:val="en-GB"/>
        </w:rPr>
        <w:tab/>
      </w:r>
      <w:r w:rsidR="004F1866" w:rsidRPr="00A81AAE">
        <w:rPr>
          <w:rFonts w:asciiTheme="majorHAnsi" w:hAnsiTheme="majorHAnsi"/>
          <w:color w:val="auto"/>
          <w:lang w:val="en-GB"/>
        </w:rPr>
        <w:t xml:space="preserve">regarding the </w:t>
      </w:r>
      <w:r w:rsidR="004719C0" w:rsidRPr="00A81AAE">
        <w:rPr>
          <w:rFonts w:asciiTheme="majorHAnsi" w:hAnsiTheme="majorHAnsi"/>
          <w:color w:val="auto"/>
          <w:lang w:val="en-GB"/>
        </w:rPr>
        <w:t xml:space="preserve">principal objective of the study and </w:t>
      </w:r>
      <w:r w:rsidR="004F1866" w:rsidRPr="00A81AAE">
        <w:rPr>
          <w:rFonts w:asciiTheme="majorHAnsi" w:hAnsiTheme="majorHAnsi"/>
          <w:color w:val="auto"/>
          <w:lang w:val="en-GB"/>
        </w:rPr>
        <w:t xml:space="preserve">their </w:t>
      </w:r>
      <w:r w:rsidR="004719C0" w:rsidRPr="00A81AAE">
        <w:rPr>
          <w:rFonts w:asciiTheme="majorHAnsi" w:hAnsiTheme="majorHAnsi"/>
          <w:color w:val="auto"/>
          <w:lang w:val="en-GB"/>
        </w:rPr>
        <w:t xml:space="preserve">willingness or otherwise to </w:t>
      </w:r>
      <w:r w:rsidRPr="00A81AAE">
        <w:rPr>
          <w:rFonts w:asciiTheme="majorHAnsi" w:hAnsiTheme="majorHAnsi"/>
          <w:color w:val="auto"/>
          <w:lang w:val="en-GB"/>
        </w:rPr>
        <w:tab/>
      </w:r>
      <w:r w:rsidR="004719C0" w:rsidRPr="00A81AAE">
        <w:rPr>
          <w:rFonts w:asciiTheme="majorHAnsi" w:hAnsiTheme="majorHAnsi"/>
          <w:color w:val="auto"/>
          <w:lang w:val="en-GB"/>
        </w:rPr>
        <w:t>participate in the research work will</w:t>
      </w:r>
      <w:r w:rsidR="004F1866" w:rsidRPr="00A81AAE">
        <w:rPr>
          <w:rFonts w:asciiTheme="majorHAnsi" w:hAnsiTheme="majorHAnsi"/>
          <w:color w:val="auto"/>
          <w:lang w:val="en-GB"/>
        </w:rPr>
        <w:t xml:space="preserve"> be confirmed. In addition</w:t>
      </w:r>
      <w:r w:rsidR="004719C0" w:rsidRPr="00A81AAE">
        <w:rPr>
          <w:rFonts w:asciiTheme="majorHAnsi" w:hAnsiTheme="majorHAnsi"/>
          <w:color w:val="auto"/>
          <w:lang w:val="en-GB"/>
        </w:rPr>
        <w:t xml:space="preserve">, each participant will be </w:t>
      </w:r>
      <w:r w:rsidRPr="00A81AAE">
        <w:rPr>
          <w:rFonts w:asciiTheme="majorHAnsi" w:hAnsiTheme="majorHAnsi"/>
          <w:color w:val="auto"/>
          <w:lang w:val="en-GB"/>
        </w:rPr>
        <w:tab/>
      </w:r>
      <w:r w:rsidR="004719C0" w:rsidRPr="00A81AAE">
        <w:rPr>
          <w:rFonts w:asciiTheme="majorHAnsi" w:hAnsiTheme="majorHAnsi"/>
          <w:color w:val="auto"/>
          <w:lang w:val="en-GB"/>
        </w:rPr>
        <w:t>allowed time to</w:t>
      </w:r>
      <w:r w:rsidR="004F1866" w:rsidRPr="00A81AAE">
        <w:rPr>
          <w:rFonts w:asciiTheme="majorHAnsi" w:hAnsiTheme="majorHAnsi"/>
          <w:color w:val="auto"/>
          <w:lang w:val="en-GB"/>
        </w:rPr>
        <w:t xml:space="preserve"> familiarise </w:t>
      </w:r>
      <w:proofErr w:type="gramStart"/>
      <w:r w:rsidR="004F1866" w:rsidRPr="00A81AAE">
        <w:rPr>
          <w:rFonts w:asciiTheme="majorHAnsi" w:hAnsiTheme="majorHAnsi"/>
          <w:color w:val="auto"/>
          <w:lang w:val="en-GB"/>
        </w:rPr>
        <w:t xml:space="preserve">themselves </w:t>
      </w:r>
      <w:r w:rsidR="004719C0" w:rsidRPr="00A81AAE">
        <w:rPr>
          <w:rFonts w:asciiTheme="majorHAnsi" w:hAnsiTheme="majorHAnsi"/>
          <w:color w:val="auto"/>
          <w:lang w:val="en-GB"/>
        </w:rPr>
        <w:t xml:space="preserve"> </w:t>
      </w:r>
      <w:r w:rsidR="004F1866" w:rsidRPr="00A81AAE">
        <w:rPr>
          <w:rFonts w:asciiTheme="majorHAnsi" w:hAnsiTheme="majorHAnsi"/>
          <w:color w:val="auto"/>
          <w:lang w:val="en-GB"/>
        </w:rPr>
        <w:t>with</w:t>
      </w:r>
      <w:proofErr w:type="gramEnd"/>
      <w:r w:rsidR="004F1866" w:rsidRPr="00A81AAE">
        <w:rPr>
          <w:rFonts w:asciiTheme="majorHAnsi" w:hAnsiTheme="majorHAnsi"/>
          <w:color w:val="auto"/>
          <w:lang w:val="en-GB"/>
        </w:rPr>
        <w:t xml:space="preserve"> the </w:t>
      </w:r>
      <w:r w:rsidR="004719C0" w:rsidRPr="00A81AAE">
        <w:rPr>
          <w:rFonts w:asciiTheme="majorHAnsi" w:hAnsiTheme="majorHAnsi"/>
          <w:color w:val="auto"/>
          <w:lang w:val="en-GB"/>
        </w:rPr>
        <w:t xml:space="preserve">proposed research and upon their free will </w:t>
      </w:r>
      <w:r w:rsidRPr="00A81AAE">
        <w:rPr>
          <w:rFonts w:asciiTheme="majorHAnsi" w:hAnsiTheme="majorHAnsi"/>
          <w:color w:val="auto"/>
          <w:lang w:val="en-GB"/>
        </w:rPr>
        <w:tab/>
      </w:r>
      <w:r w:rsidR="004719C0" w:rsidRPr="00A81AAE">
        <w:rPr>
          <w:rFonts w:asciiTheme="majorHAnsi" w:hAnsiTheme="majorHAnsi"/>
          <w:color w:val="auto"/>
          <w:lang w:val="en-GB"/>
        </w:rPr>
        <w:t xml:space="preserve">sign the Consent Form. This </w:t>
      </w:r>
      <w:r w:rsidR="006C24D0" w:rsidRPr="00A81AAE">
        <w:rPr>
          <w:rFonts w:asciiTheme="majorHAnsi" w:hAnsiTheme="majorHAnsi"/>
          <w:color w:val="auto"/>
          <w:lang w:val="en-GB"/>
        </w:rPr>
        <w:t xml:space="preserve">particularly </w:t>
      </w:r>
      <w:r w:rsidR="004719C0" w:rsidRPr="00A81AAE">
        <w:rPr>
          <w:rFonts w:asciiTheme="majorHAnsi" w:hAnsiTheme="majorHAnsi"/>
          <w:color w:val="auto"/>
          <w:lang w:val="en-GB"/>
        </w:rPr>
        <w:t xml:space="preserve">emphasizes the voluntary nature of the study. </w:t>
      </w:r>
      <w:r w:rsidRPr="00A81AAE">
        <w:rPr>
          <w:rFonts w:asciiTheme="majorHAnsi" w:hAnsiTheme="majorHAnsi"/>
          <w:color w:val="auto"/>
          <w:lang w:val="en-GB"/>
        </w:rPr>
        <w:tab/>
      </w:r>
      <w:r w:rsidR="004719C0" w:rsidRPr="00A81AAE">
        <w:rPr>
          <w:rFonts w:asciiTheme="majorHAnsi" w:hAnsiTheme="majorHAnsi"/>
          <w:color w:val="auto"/>
          <w:lang w:val="en-GB"/>
        </w:rPr>
        <w:t xml:space="preserve">After </w:t>
      </w:r>
      <w:r w:rsidR="006C24D0" w:rsidRPr="00A81AAE">
        <w:rPr>
          <w:rFonts w:asciiTheme="majorHAnsi" w:hAnsiTheme="majorHAnsi"/>
          <w:color w:val="auto"/>
          <w:lang w:val="en-GB"/>
        </w:rPr>
        <w:t xml:space="preserve">the signing of the </w:t>
      </w:r>
      <w:r w:rsidR="004719C0" w:rsidRPr="00A81AAE">
        <w:rPr>
          <w:rFonts w:asciiTheme="majorHAnsi" w:hAnsiTheme="majorHAnsi"/>
          <w:color w:val="auto"/>
          <w:lang w:val="en-GB"/>
        </w:rPr>
        <w:t>Consent Form</w:t>
      </w:r>
      <w:r w:rsidR="006C24D0" w:rsidRPr="00A81AAE">
        <w:rPr>
          <w:rFonts w:asciiTheme="majorHAnsi" w:hAnsiTheme="majorHAnsi"/>
          <w:color w:val="auto"/>
          <w:lang w:val="en-GB"/>
        </w:rPr>
        <w:t>s,</w:t>
      </w:r>
      <w:r w:rsidR="004719C0" w:rsidRPr="00A81AAE">
        <w:rPr>
          <w:rFonts w:asciiTheme="majorHAnsi" w:hAnsiTheme="majorHAnsi"/>
          <w:color w:val="auto"/>
          <w:lang w:val="en-GB"/>
        </w:rPr>
        <w:t xml:space="preserve"> semi-structured interviews </w:t>
      </w:r>
      <w:r w:rsidR="006C24D0" w:rsidRPr="00A81AAE">
        <w:rPr>
          <w:rFonts w:asciiTheme="majorHAnsi" w:hAnsiTheme="majorHAnsi"/>
          <w:color w:val="auto"/>
          <w:lang w:val="en-GB"/>
        </w:rPr>
        <w:t xml:space="preserve">will be conducted and </w:t>
      </w:r>
      <w:r w:rsidRPr="00A81AAE">
        <w:rPr>
          <w:rFonts w:asciiTheme="majorHAnsi" w:hAnsiTheme="majorHAnsi"/>
          <w:color w:val="auto"/>
          <w:lang w:val="en-GB"/>
        </w:rPr>
        <w:tab/>
      </w:r>
      <w:r w:rsidR="004719C0" w:rsidRPr="00A81AAE">
        <w:rPr>
          <w:rFonts w:asciiTheme="majorHAnsi" w:hAnsiTheme="majorHAnsi"/>
          <w:color w:val="auto"/>
          <w:lang w:val="en-GB"/>
        </w:rPr>
        <w:t>questionnaire</w:t>
      </w:r>
      <w:r w:rsidR="006C24D0" w:rsidRPr="00A81AAE">
        <w:rPr>
          <w:rFonts w:asciiTheme="majorHAnsi" w:hAnsiTheme="majorHAnsi"/>
          <w:color w:val="auto"/>
          <w:lang w:val="en-GB"/>
        </w:rPr>
        <w:t>s distributed. T</w:t>
      </w:r>
      <w:r w:rsidR="004719C0" w:rsidRPr="00A81AAE">
        <w:rPr>
          <w:rFonts w:asciiTheme="majorHAnsi" w:hAnsiTheme="majorHAnsi"/>
          <w:color w:val="auto"/>
          <w:lang w:val="en-GB"/>
        </w:rPr>
        <w:t xml:space="preserve">he researchers will reassure the participants that they have </w:t>
      </w:r>
      <w:r w:rsidRPr="00A81AAE">
        <w:rPr>
          <w:rFonts w:asciiTheme="majorHAnsi" w:hAnsiTheme="majorHAnsi"/>
          <w:color w:val="auto"/>
          <w:lang w:val="en-GB"/>
        </w:rPr>
        <w:tab/>
      </w:r>
      <w:r w:rsidR="004719C0" w:rsidRPr="00A81AAE">
        <w:rPr>
          <w:rFonts w:asciiTheme="majorHAnsi" w:hAnsiTheme="majorHAnsi"/>
          <w:color w:val="auto"/>
          <w:lang w:val="en-GB"/>
        </w:rPr>
        <w:t>the</w:t>
      </w:r>
      <w:r w:rsidR="00A15940" w:rsidRPr="00A81AAE">
        <w:rPr>
          <w:rFonts w:asciiTheme="majorHAnsi" w:hAnsiTheme="majorHAnsi"/>
          <w:color w:val="auto"/>
          <w:lang w:val="en-GB"/>
        </w:rPr>
        <w:t xml:space="preserve"> authority</w:t>
      </w:r>
      <w:r w:rsidR="004719C0" w:rsidRPr="00A81AAE">
        <w:rPr>
          <w:rFonts w:asciiTheme="majorHAnsi" w:hAnsiTheme="majorHAnsi"/>
          <w:color w:val="auto"/>
          <w:lang w:val="en-GB"/>
        </w:rPr>
        <w:t xml:space="preserve"> to </w:t>
      </w:r>
      <w:r w:rsidR="006C24D0" w:rsidRPr="00A81AAE">
        <w:rPr>
          <w:rFonts w:asciiTheme="majorHAnsi" w:hAnsiTheme="majorHAnsi"/>
          <w:color w:val="auto"/>
          <w:lang w:val="en-GB"/>
        </w:rPr>
        <w:t xml:space="preserve">withdraw </w:t>
      </w:r>
      <w:r w:rsidR="00A15940" w:rsidRPr="00A81AAE">
        <w:rPr>
          <w:rFonts w:asciiTheme="majorHAnsi" w:hAnsiTheme="majorHAnsi"/>
          <w:color w:val="auto"/>
          <w:lang w:val="en-GB"/>
        </w:rPr>
        <w:t>from this study if they wish to at any time.</w:t>
      </w:r>
      <w:r w:rsidR="004719C0" w:rsidRPr="00A81AAE">
        <w:rPr>
          <w:rFonts w:asciiTheme="majorHAnsi" w:hAnsiTheme="majorHAnsi"/>
          <w:color w:val="auto"/>
          <w:lang w:val="en-GB"/>
        </w:rPr>
        <w:t xml:space="preserve"> All </w:t>
      </w:r>
      <w:r w:rsidR="00A15940" w:rsidRPr="00A81AAE">
        <w:rPr>
          <w:rFonts w:asciiTheme="majorHAnsi" w:hAnsiTheme="majorHAnsi"/>
          <w:color w:val="auto"/>
          <w:lang w:val="en-GB"/>
        </w:rPr>
        <w:t>the participants</w:t>
      </w:r>
      <w:r w:rsidR="004719C0" w:rsidRPr="00A81AAE">
        <w:rPr>
          <w:rFonts w:asciiTheme="majorHAnsi" w:hAnsiTheme="majorHAnsi"/>
          <w:color w:val="auto"/>
          <w:lang w:val="en-GB"/>
        </w:rPr>
        <w:t xml:space="preserve"> </w:t>
      </w:r>
      <w:r w:rsidRPr="00A81AAE">
        <w:rPr>
          <w:rFonts w:asciiTheme="majorHAnsi" w:hAnsiTheme="majorHAnsi"/>
          <w:color w:val="auto"/>
          <w:lang w:val="en-GB"/>
        </w:rPr>
        <w:tab/>
      </w:r>
      <w:r w:rsidR="004719C0" w:rsidRPr="00A81AAE">
        <w:rPr>
          <w:rFonts w:asciiTheme="majorHAnsi" w:hAnsiTheme="majorHAnsi"/>
          <w:color w:val="auto"/>
          <w:lang w:val="en-GB"/>
        </w:rPr>
        <w:t xml:space="preserve">will be </w:t>
      </w:r>
      <w:r w:rsidR="00A15940" w:rsidRPr="00A81AAE">
        <w:rPr>
          <w:rFonts w:asciiTheme="majorHAnsi" w:hAnsiTheme="majorHAnsi"/>
          <w:color w:val="auto"/>
          <w:lang w:val="en-GB"/>
        </w:rPr>
        <w:t>informed</w:t>
      </w:r>
      <w:r w:rsidR="004719C0" w:rsidRPr="00A81AAE">
        <w:rPr>
          <w:rFonts w:asciiTheme="majorHAnsi" w:hAnsiTheme="majorHAnsi"/>
          <w:color w:val="auto"/>
          <w:lang w:val="en-GB"/>
        </w:rPr>
        <w:t xml:space="preserve"> that </w:t>
      </w:r>
      <w:r w:rsidR="00A15940" w:rsidRPr="00A81AAE">
        <w:rPr>
          <w:rFonts w:asciiTheme="majorHAnsi" w:hAnsiTheme="majorHAnsi"/>
          <w:color w:val="auto"/>
          <w:lang w:val="en-GB"/>
        </w:rPr>
        <w:t>the study is</w:t>
      </w:r>
      <w:r w:rsidR="004719C0" w:rsidRPr="00A81AAE">
        <w:rPr>
          <w:rFonts w:asciiTheme="majorHAnsi" w:hAnsiTheme="majorHAnsi"/>
          <w:color w:val="auto"/>
          <w:lang w:val="en-GB"/>
        </w:rPr>
        <w:t xml:space="preserve"> purely for </w:t>
      </w:r>
      <w:r w:rsidR="00A15940" w:rsidRPr="00A81AAE">
        <w:rPr>
          <w:rFonts w:asciiTheme="majorHAnsi" w:hAnsiTheme="majorHAnsi"/>
          <w:color w:val="auto"/>
          <w:lang w:val="en-GB"/>
        </w:rPr>
        <w:t>intellectual purpose</w:t>
      </w:r>
      <w:r w:rsidR="004719C0" w:rsidRPr="00A81AAE">
        <w:rPr>
          <w:rFonts w:asciiTheme="majorHAnsi" w:hAnsiTheme="majorHAnsi"/>
          <w:color w:val="auto"/>
          <w:lang w:val="en-GB"/>
        </w:rPr>
        <w:t xml:space="preserve">. Prior to the </w:t>
      </w:r>
      <w:r w:rsidRPr="00A81AAE">
        <w:rPr>
          <w:rFonts w:asciiTheme="majorHAnsi" w:hAnsiTheme="majorHAnsi"/>
          <w:color w:val="auto"/>
          <w:lang w:val="en-GB"/>
        </w:rPr>
        <w:tab/>
      </w:r>
      <w:r w:rsidR="004719C0" w:rsidRPr="00A81AAE">
        <w:rPr>
          <w:rFonts w:asciiTheme="majorHAnsi" w:hAnsiTheme="majorHAnsi"/>
          <w:color w:val="auto"/>
          <w:lang w:val="en-GB"/>
        </w:rPr>
        <w:t xml:space="preserve">commencement of the interviews and filling of </w:t>
      </w:r>
      <w:r w:rsidR="006C24D0" w:rsidRPr="00A81AAE">
        <w:rPr>
          <w:rFonts w:asciiTheme="majorHAnsi" w:hAnsiTheme="majorHAnsi"/>
          <w:color w:val="auto"/>
          <w:lang w:val="en-GB"/>
        </w:rPr>
        <w:t xml:space="preserve">the </w:t>
      </w:r>
      <w:r w:rsidR="004719C0" w:rsidRPr="00A81AAE">
        <w:rPr>
          <w:rFonts w:asciiTheme="majorHAnsi" w:hAnsiTheme="majorHAnsi"/>
          <w:color w:val="auto"/>
          <w:lang w:val="en-GB"/>
        </w:rPr>
        <w:t>questionnaires, participant</w:t>
      </w:r>
      <w:r w:rsidR="006C24D0" w:rsidRPr="00A81AAE">
        <w:rPr>
          <w:rFonts w:asciiTheme="majorHAnsi" w:hAnsiTheme="majorHAnsi"/>
          <w:color w:val="auto"/>
          <w:lang w:val="en-GB"/>
        </w:rPr>
        <w:t>s</w:t>
      </w:r>
      <w:r w:rsidR="004719C0" w:rsidRPr="00A81AAE">
        <w:rPr>
          <w:rFonts w:asciiTheme="majorHAnsi" w:hAnsiTheme="majorHAnsi"/>
          <w:color w:val="auto"/>
          <w:lang w:val="en-GB"/>
        </w:rPr>
        <w:t xml:space="preserve"> will </w:t>
      </w:r>
      <w:r w:rsidR="006C24D0" w:rsidRPr="00A81AAE">
        <w:rPr>
          <w:rFonts w:asciiTheme="majorHAnsi" w:hAnsiTheme="majorHAnsi"/>
          <w:color w:val="auto"/>
          <w:lang w:val="en-GB"/>
        </w:rPr>
        <w:t xml:space="preserve">be </w:t>
      </w:r>
      <w:r w:rsidRPr="00A81AAE">
        <w:rPr>
          <w:rFonts w:asciiTheme="majorHAnsi" w:hAnsiTheme="majorHAnsi"/>
          <w:color w:val="auto"/>
          <w:lang w:val="en-GB"/>
        </w:rPr>
        <w:tab/>
      </w:r>
      <w:r w:rsidR="00892E45" w:rsidRPr="00A81AAE">
        <w:rPr>
          <w:rFonts w:asciiTheme="majorHAnsi" w:hAnsiTheme="majorHAnsi"/>
          <w:color w:val="auto"/>
          <w:lang w:val="en-GB"/>
        </w:rPr>
        <w:t xml:space="preserve">informed that their </w:t>
      </w:r>
      <w:r w:rsidR="006C24D0" w:rsidRPr="00A81AAE">
        <w:rPr>
          <w:rFonts w:asciiTheme="majorHAnsi" w:hAnsiTheme="majorHAnsi"/>
          <w:color w:val="auto"/>
          <w:lang w:val="en-GB"/>
        </w:rPr>
        <w:t xml:space="preserve">views will be kept confidential and their identities kept anonymous.  </w:t>
      </w:r>
      <w:r w:rsidRPr="00A81AAE">
        <w:rPr>
          <w:rFonts w:asciiTheme="majorHAnsi" w:hAnsiTheme="majorHAnsi"/>
          <w:color w:val="auto"/>
          <w:lang w:val="en-GB"/>
        </w:rPr>
        <w:tab/>
      </w:r>
      <w:r w:rsidR="006C24D0" w:rsidRPr="00A81AAE">
        <w:rPr>
          <w:rFonts w:asciiTheme="majorHAnsi" w:hAnsiTheme="majorHAnsi"/>
          <w:color w:val="auto"/>
          <w:lang w:val="en-GB"/>
        </w:rPr>
        <w:t xml:space="preserve">This will also be </w:t>
      </w:r>
      <w:r w:rsidR="004719C0" w:rsidRPr="00A81AAE">
        <w:rPr>
          <w:rFonts w:asciiTheme="majorHAnsi" w:hAnsiTheme="majorHAnsi"/>
          <w:color w:val="auto"/>
          <w:lang w:val="en-GB"/>
        </w:rPr>
        <w:t>guaranteed in the written report</w:t>
      </w:r>
      <w:r w:rsidR="006C24D0" w:rsidRPr="00A81AAE">
        <w:rPr>
          <w:rFonts w:asciiTheme="majorHAnsi" w:hAnsiTheme="majorHAnsi"/>
          <w:color w:val="auto"/>
          <w:lang w:val="en-GB"/>
        </w:rPr>
        <w:t xml:space="preserve"> at the conclusion of the study.</w:t>
      </w:r>
    </w:p>
    <w:p w:rsidR="004719C0" w:rsidRPr="00A81AAE" w:rsidRDefault="004719C0" w:rsidP="009D589E">
      <w:pPr>
        <w:pStyle w:val="Default"/>
        <w:spacing w:line="360" w:lineRule="auto"/>
        <w:ind w:left="-450"/>
        <w:jc w:val="both"/>
        <w:rPr>
          <w:rFonts w:asciiTheme="majorHAnsi" w:hAnsiTheme="majorHAnsi"/>
          <w:color w:val="auto"/>
          <w:lang w:val="en-GB"/>
        </w:rPr>
      </w:pPr>
    </w:p>
    <w:p w:rsidR="004719C0" w:rsidRPr="00A81AAE" w:rsidRDefault="004719C0" w:rsidP="009D589E">
      <w:pPr>
        <w:spacing w:after="0" w:line="360" w:lineRule="auto"/>
        <w:rPr>
          <w:b/>
          <w:sz w:val="28"/>
          <w:szCs w:val="28"/>
          <w:lang w:val="en-GB"/>
        </w:rPr>
      </w:pPr>
      <w:r w:rsidRPr="00A81AAE">
        <w:rPr>
          <w:b/>
          <w:sz w:val="28"/>
          <w:szCs w:val="28"/>
          <w:lang w:val="en-GB"/>
        </w:rPr>
        <w:t>7.0 Timeline to Completion</w:t>
      </w:r>
    </w:p>
    <w:tbl>
      <w:tblPr>
        <w:tblStyle w:val="TableGrid"/>
        <w:tblW w:w="0" w:type="auto"/>
        <w:tblInd w:w="-176" w:type="dxa"/>
        <w:tblLook w:val="04A0"/>
      </w:tblPr>
      <w:tblGrid>
        <w:gridCol w:w="4291"/>
        <w:gridCol w:w="5461"/>
      </w:tblGrid>
      <w:tr w:rsidR="004719C0" w:rsidRPr="00A81AAE" w:rsidTr="000422DD">
        <w:tc>
          <w:tcPr>
            <w:tcW w:w="4537" w:type="dxa"/>
          </w:tcPr>
          <w:p w:rsidR="004719C0" w:rsidRPr="00A81AAE" w:rsidRDefault="004719C0" w:rsidP="009D589E">
            <w:pPr>
              <w:spacing w:line="360" w:lineRule="auto"/>
              <w:jc w:val="center"/>
              <w:rPr>
                <w:lang w:val="en-GB"/>
              </w:rPr>
            </w:pPr>
          </w:p>
          <w:p w:rsidR="004719C0" w:rsidRPr="00A81AAE" w:rsidRDefault="004719C0" w:rsidP="009D589E">
            <w:pPr>
              <w:spacing w:line="360" w:lineRule="auto"/>
              <w:jc w:val="center"/>
              <w:rPr>
                <w:b/>
                <w:sz w:val="24"/>
                <w:szCs w:val="24"/>
                <w:lang w:val="en-GB"/>
              </w:rPr>
            </w:pPr>
            <w:r w:rsidRPr="00A81AAE">
              <w:rPr>
                <w:b/>
                <w:sz w:val="24"/>
                <w:szCs w:val="24"/>
                <w:lang w:val="en-GB"/>
              </w:rPr>
              <w:t>Activities</w:t>
            </w:r>
          </w:p>
        </w:tc>
        <w:tc>
          <w:tcPr>
            <w:tcW w:w="5812" w:type="dxa"/>
          </w:tcPr>
          <w:p w:rsidR="004719C0" w:rsidRPr="00A81AAE" w:rsidRDefault="004719C0" w:rsidP="009D589E">
            <w:pPr>
              <w:spacing w:line="360" w:lineRule="auto"/>
              <w:rPr>
                <w:b/>
                <w:sz w:val="24"/>
                <w:szCs w:val="24"/>
                <w:lang w:val="en-GB"/>
              </w:rPr>
            </w:pPr>
          </w:p>
          <w:p w:rsidR="004719C0" w:rsidRPr="00A81AAE" w:rsidRDefault="004719C0" w:rsidP="009D589E">
            <w:pPr>
              <w:spacing w:line="360" w:lineRule="auto"/>
              <w:jc w:val="center"/>
              <w:rPr>
                <w:b/>
                <w:sz w:val="24"/>
                <w:szCs w:val="24"/>
                <w:lang w:val="en-GB"/>
              </w:rPr>
            </w:pPr>
            <w:r w:rsidRPr="00A81AAE">
              <w:rPr>
                <w:b/>
                <w:sz w:val="24"/>
                <w:szCs w:val="24"/>
                <w:lang w:val="en-GB"/>
              </w:rPr>
              <w:t>Estimated date of achievement</w:t>
            </w:r>
          </w:p>
          <w:p w:rsidR="004719C0" w:rsidRPr="00A81AAE" w:rsidRDefault="004719C0" w:rsidP="009D589E">
            <w:pPr>
              <w:spacing w:line="360" w:lineRule="auto"/>
              <w:rPr>
                <w:lang w:val="en-GB"/>
              </w:rPr>
            </w:pPr>
          </w:p>
        </w:tc>
      </w:tr>
      <w:tr w:rsidR="004719C0" w:rsidRPr="00A81AAE" w:rsidTr="000422DD">
        <w:tc>
          <w:tcPr>
            <w:tcW w:w="4537" w:type="dxa"/>
          </w:tcPr>
          <w:p w:rsidR="004719C0" w:rsidRPr="00A81AAE" w:rsidRDefault="004719C0" w:rsidP="009D589E">
            <w:pPr>
              <w:spacing w:line="360" w:lineRule="auto"/>
              <w:jc w:val="center"/>
              <w:rPr>
                <w:sz w:val="24"/>
                <w:szCs w:val="24"/>
                <w:lang w:val="en-GB"/>
              </w:rPr>
            </w:pPr>
            <w:r w:rsidRPr="00A81AAE">
              <w:rPr>
                <w:sz w:val="24"/>
                <w:szCs w:val="24"/>
                <w:lang w:val="en-GB"/>
              </w:rPr>
              <w:t>Approval of proposal</w:t>
            </w:r>
          </w:p>
        </w:tc>
        <w:tc>
          <w:tcPr>
            <w:tcW w:w="5812" w:type="dxa"/>
          </w:tcPr>
          <w:p w:rsidR="004719C0" w:rsidRPr="00A81AAE" w:rsidRDefault="004719C0" w:rsidP="009D589E">
            <w:pPr>
              <w:spacing w:line="360" w:lineRule="auto"/>
              <w:jc w:val="center"/>
              <w:rPr>
                <w:sz w:val="24"/>
                <w:szCs w:val="24"/>
                <w:lang w:val="en-GB"/>
              </w:rPr>
            </w:pPr>
            <w:r w:rsidRPr="00A81AAE">
              <w:rPr>
                <w:sz w:val="24"/>
                <w:szCs w:val="24"/>
                <w:lang w:val="en-GB"/>
              </w:rPr>
              <w:t>November 201</w:t>
            </w:r>
            <w:r w:rsidR="004F1866" w:rsidRPr="00A81AAE">
              <w:rPr>
                <w:sz w:val="24"/>
                <w:szCs w:val="24"/>
                <w:lang w:val="en-GB"/>
              </w:rPr>
              <w:t>7</w:t>
            </w:r>
          </w:p>
        </w:tc>
      </w:tr>
      <w:tr w:rsidR="004719C0" w:rsidRPr="00A81AAE" w:rsidTr="000422DD">
        <w:tc>
          <w:tcPr>
            <w:tcW w:w="4537" w:type="dxa"/>
          </w:tcPr>
          <w:p w:rsidR="004719C0" w:rsidRPr="00A81AAE" w:rsidRDefault="004719C0" w:rsidP="009D589E">
            <w:pPr>
              <w:spacing w:line="360" w:lineRule="auto"/>
              <w:jc w:val="center"/>
              <w:rPr>
                <w:sz w:val="24"/>
                <w:szCs w:val="24"/>
                <w:lang w:val="en-GB"/>
              </w:rPr>
            </w:pPr>
            <w:r w:rsidRPr="00A81AAE">
              <w:rPr>
                <w:sz w:val="24"/>
                <w:szCs w:val="24"/>
                <w:lang w:val="en-GB"/>
              </w:rPr>
              <w:t>Consent and logistics</w:t>
            </w:r>
          </w:p>
        </w:tc>
        <w:tc>
          <w:tcPr>
            <w:tcW w:w="5812" w:type="dxa"/>
          </w:tcPr>
          <w:p w:rsidR="004719C0" w:rsidRPr="00A81AAE" w:rsidRDefault="004719C0" w:rsidP="009D589E">
            <w:pPr>
              <w:spacing w:line="360" w:lineRule="auto"/>
              <w:jc w:val="center"/>
              <w:rPr>
                <w:sz w:val="24"/>
                <w:szCs w:val="24"/>
                <w:lang w:val="en-GB"/>
              </w:rPr>
            </w:pPr>
            <w:r w:rsidRPr="00A81AAE">
              <w:rPr>
                <w:sz w:val="24"/>
                <w:szCs w:val="24"/>
                <w:lang w:val="en-GB"/>
              </w:rPr>
              <w:t>November 201</w:t>
            </w:r>
            <w:r w:rsidR="004F1866" w:rsidRPr="00A81AAE">
              <w:rPr>
                <w:sz w:val="24"/>
                <w:szCs w:val="24"/>
                <w:lang w:val="en-GB"/>
              </w:rPr>
              <w:t>7</w:t>
            </w:r>
            <w:r w:rsidRPr="00A81AAE">
              <w:rPr>
                <w:sz w:val="24"/>
                <w:szCs w:val="24"/>
                <w:lang w:val="en-GB"/>
              </w:rPr>
              <w:t xml:space="preserve"> – March 201</w:t>
            </w:r>
            <w:r w:rsidR="004F1866" w:rsidRPr="00A81AAE">
              <w:rPr>
                <w:sz w:val="24"/>
                <w:szCs w:val="24"/>
                <w:lang w:val="en-GB"/>
              </w:rPr>
              <w:t>8</w:t>
            </w:r>
          </w:p>
        </w:tc>
      </w:tr>
      <w:tr w:rsidR="004719C0" w:rsidRPr="00A81AAE" w:rsidTr="000422DD">
        <w:tc>
          <w:tcPr>
            <w:tcW w:w="4537" w:type="dxa"/>
          </w:tcPr>
          <w:p w:rsidR="004719C0" w:rsidRPr="00A81AAE" w:rsidRDefault="004719C0" w:rsidP="009D589E">
            <w:pPr>
              <w:spacing w:line="360" w:lineRule="auto"/>
              <w:jc w:val="center"/>
              <w:rPr>
                <w:sz w:val="24"/>
                <w:szCs w:val="24"/>
                <w:lang w:val="en-GB"/>
              </w:rPr>
            </w:pPr>
            <w:r w:rsidRPr="00A81AAE">
              <w:rPr>
                <w:sz w:val="24"/>
                <w:szCs w:val="24"/>
                <w:lang w:val="en-GB"/>
              </w:rPr>
              <w:t>Literature review</w:t>
            </w:r>
          </w:p>
          <w:p w:rsidR="004719C0" w:rsidRPr="00A81AAE" w:rsidRDefault="004719C0" w:rsidP="009D589E">
            <w:pPr>
              <w:spacing w:line="360" w:lineRule="auto"/>
              <w:jc w:val="center"/>
              <w:rPr>
                <w:sz w:val="24"/>
                <w:szCs w:val="24"/>
                <w:lang w:val="en-GB"/>
              </w:rPr>
            </w:pPr>
            <w:r w:rsidRPr="00A81AAE">
              <w:rPr>
                <w:sz w:val="24"/>
                <w:szCs w:val="24"/>
                <w:lang w:val="en-GB"/>
              </w:rPr>
              <w:t>Construction of research tools</w:t>
            </w:r>
          </w:p>
        </w:tc>
        <w:tc>
          <w:tcPr>
            <w:tcW w:w="5812" w:type="dxa"/>
          </w:tcPr>
          <w:p w:rsidR="004719C0" w:rsidRPr="00A81AAE" w:rsidRDefault="004719C0" w:rsidP="009D589E">
            <w:pPr>
              <w:spacing w:line="360" w:lineRule="auto"/>
              <w:jc w:val="center"/>
              <w:rPr>
                <w:sz w:val="24"/>
                <w:szCs w:val="24"/>
                <w:lang w:val="en-GB"/>
              </w:rPr>
            </w:pPr>
            <w:r w:rsidRPr="00A81AAE">
              <w:rPr>
                <w:sz w:val="24"/>
                <w:szCs w:val="24"/>
                <w:lang w:val="en-GB"/>
              </w:rPr>
              <w:t>March – May 201</w:t>
            </w:r>
            <w:r w:rsidR="004F1866" w:rsidRPr="00A81AAE">
              <w:rPr>
                <w:sz w:val="24"/>
                <w:szCs w:val="24"/>
                <w:lang w:val="en-GB"/>
              </w:rPr>
              <w:t>8</w:t>
            </w:r>
          </w:p>
        </w:tc>
      </w:tr>
      <w:tr w:rsidR="004719C0" w:rsidRPr="00A81AAE" w:rsidTr="000422DD">
        <w:tc>
          <w:tcPr>
            <w:tcW w:w="4537" w:type="dxa"/>
          </w:tcPr>
          <w:p w:rsidR="004719C0" w:rsidRPr="00A81AAE" w:rsidRDefault="004719C0" w:rsidP="009D589E">
            <w:pPr>
              <w:spacing w:line="360" w:lineRule="auto"/>
              <w:jc w:val="center"/>
              <w:rPr>
                <w:sz w:val="24"/>
                <w:szCs w:val="24"/>
                <w:lang w:val="en-GB"/>
              </w:rPr>
            </w:pPr>
            <w:r w:rsidRPr="00A81AAE">
              <w:rPr>
                <w:sz w:val="24"/>
                <w:szCs w:val="24"/>
                <w:lang w:val="en-GB"/>
              </w:rPr>
              <w:t>Pilot study and questionnaire revision</w:t>
            </w:r>
          </w:p>
        </w:tc>
        <w:tc>
          <w:tcPr>
            <w:tcW w:w="5812" w:type="dxa"/>
          </w:tcPr>
          <w:p w:rsidR="004719C0" w:rsidRPr="00A81AAE" w:rsidRDefault="004719C0" w:rsidP="009D589E">
            <w:pPr>
              <w:spacing w:line="360" w:lineRule="auto"/>
              <w:jc w:val="center"/>
              <w:rPr>
                <w:sz w:val="24"/>
                <w:szCs w:val="24"/>
                <w:lang w:val="en-GB"/>
              </w:rPr>
            </w:pPr>
            <w:r w:rsidRPr="00A81AAE">
              <w:rPr>
                <w:sz w:val="24"/>
                <w:szCs w:val="24"/>
                <w:lang w:val="en-GB"/>
              </w:rPr>
              <w:t>June 201</w:t>
            </w:r>
            <w:r w:rsidR="004F1866" w:rsidRPr="00A81AAE">
              <w:rPr>
                <w:sz w:val="24"/>
                <w:szCs w:val="24"/>
                <w:lang w:val="en-GB"/>
              </w:rPr>
              <w:t>8</w:t>
            </w:r>
          </w:p>
        </w:tc>
      </w:tr>
      <w:tr w:rsidR="004719C0" w:rsidRPr="00A81AAE" w:rsidTr="000422DD">
        <w:tc>
          <w:tcPr>
            <w:tcW w:w="4537" w:type="dxa"/>
          </w:tcPr>
          <w:p w:rsidR="004719C0" w:rsidRPr="00A81AAE" w:rsidRDefault="004719C0" w:rsidP="009D589E">
            <w:pPr>
              <w:spacing w:line="360" w:lineRule="auto"/>
              <w:jc w:val="center"/>
              <w:rPr>
                <w:sz w:val="24"/>
                <w:szCs w:val="24"/>
                <w:lang w:val="en-GB"/>
              </w:rPr>
            </w:pPr>
            <w:r w:rsidRPr="00A81AAE">
              <w:rPr>
                <w:sz w:val="24"/>
                <w:szCs w:val="24"/>
                <w:lang w:val="en-GB"/>
              </w:rPr>
              <w:t>Distribution of questionnaires</w:t>
            </w:r>
          </w:p>
          <w:p w:rsidR="004719C0" w:rsidRPr="00A81AAE" w:rsidRDefault="004719C0" w:rsidP="009D589E">
            <w:pPr>
              <w:spacing w:line="360" w:lineRule="auto"/>
              <w:jc w:val="center"/>
              <w:rPr>
                <w:sz w:val="24"/>
                <w:szCs w:val="24"/>
                <w:lang w:val="en-GB"/>
              </w:rPr>
            </w:pPr>
            <w:r w:rsidRPr="00A81AAE">
              <w:rPr>
                <w:sz w:val="24"/>
                <w:szCs w:val="24"/>
                <w:lang w:val="en-GB"/>
              </w:rPr>
              <w:t>Structured and unstructured interviews</w:t>
            </w:r>
          </w:p>
        </w:tc>
        <w:tc>
          <w:tcPr>
            <w:tcW w:w="5812" w:type="dxa"/>
          </w:tcPr>
          <w:p w:rsidR="004719C0" w:rsidRPr="00A81AAE" w:rsidRDefault="004719C0" w:rsidP="009D589E">
            <w:pPr>
              <w:spacing w:line="360" w:lineRule="auto"/>
              <w:jc w:val="center"/>
              <w:rPr>
                <w:sz w:val="24"/>
                <w:szCs w:val="24"/>
                <w:lang w:val="en-GB"/>
              </w:rPr>
            </w:pPr>
            <w:r w:rsidRPr="00A81AAE">
              <w:rPr>
                <w:sz w:val="24"/>
                <w:szCs w:val="24"/>
                <w:lang w:val="en-GB"/>
              </w:rPr>
              <w:t>June – July 201</w:t>
            </w:r>
            <w:r w:rsidR="004F1866" w:rsidRPr="00A81AAE">
              <w:rPr>
                <w:sz w:val="24"/>
                <w:szCs w:val="24"/>
                <w:lang w:val="en-GB"/>
              </w:rPr>
              <w:t>8</w:t>
            </w:r>
          </w:p>
        </w:tc>
      </w:tr>
      <w:tr w:rsidR="004719C0" w:rsidRPr="00A81AAE" w:rsidTr="000422DD">
        <w:tc>
          <w:tcPr>
            <w:tcW w:w="4537" w:type="dxa"/>
          </w:tcPr>
          <w:p w:rsidR="004719C0" w:rsidRPr="00A81AAE" w:rsidRDefault="004719C0" w:rsidP="009D589E">
            <w:pPr>
              <w:spacing w:line="360" w:lineRule="auto"/>
              <w:jc w:val="center"/>
              <w:rPr>
                <w:sz w:val="24"/>
                <w:szCs w:val="24"/>
                <w:lang w:val="en-GB"/>
              </w:rPr>
            </w:pPr>
            <w:r w:rsidRPr="00A81AAE">
              <w:rPr>
                <w:sz w:val="24"/>
                <w:szCs w:val="24"/>
                <w:lang w:val="en-GB"/>
              </w:rPr>
              <w:t>Data collection</w:t>
            </w:r>
          </w:p>
        </w:tc>
        <w:tc>
          <w:tcPr>
            <w:tcW w:w="5812" w:type="dxa"/>
          </w:tcPr>
          <w:p w:rsidR="004719C0" w:rsidRPr="00A81AAE" w:rsidRDefault="004719C0" w:rsidP="009D589E">
            <w:pPr>
              <w:spacing w:line="360" w:lineRule="auto"/>
              <w:jc w:val="center"/>
              <w:rPr>
                <w:sz w:val="24"/>
                <w:szCs w:val="24"/>
                <w:lang w:val="en-GB"/>
              </w:rPr>
            </w:pPr>
            <w:r w:rsidRPr="00A81AAE">
              <w:rPr>
                <w:sz w:val="24"/>
                <w:szCs w:val="24"/>
                <w:lang w:val="en-GB"/>
              </w:rPr>
              <w:t>August 201</w:t>
            </w:r>
            <w:r w:rsidR="004F1866" w:rsidRPr="00A81AAE">
              <w:rPr>
                <w:sz w:val="24"/>
                <w:szCs w:val="24"/>
                <w:lang w:val="en-GB"/>
              </w:rPr>
              <w:t>8</w:t>
            </w:r>
          </w:p>
        </w:tc>
      </w:tr>
      <w:tr w:rsidR="004719C0" w:rsidRPr="00A81AAE" w:rsidTr="000422DD">
        <w:tc>
          <w:tcPr>
            <w:tcW w:w="4537" w:type="dxa"/>
          </w:tcPr>
          <w:p w:rsidR="004719C0" w:rsidRPr="00A81AAE" w:rsidRDefault="004719C0" w:rsidP="009D589E">
            <w:pPr>
              <w:spacing w:line="360" w:lineRule="auto"/>
              <w:jc w:val="center"/>
              <w:rPr>
                <w:sz w:val="24"/>
                <w:szCs w:val="24"/>
                <w:lang w:val="en-GB"/>
              </w:rPr>
            </w:pPr>
            <w:r w:rsidRPr="00A81AAE">
              <w:rPr>
                <w:sz w:val="24"/>
                <w:szCs w:val="24"/>
                <w:lang w:val="en-GB"/>
              </w:rPr>
              <w:t>Data analysis</w:t>
            </w:r>
          </w:p>
        </w:tc>
        <w:tc>
          <w:tcPr>
            <w:tcW w:w="5812" w:type="dxa"/>
          </w:tcPr>
          <w:p w:rsidR="004719C0" w:rsidRPr="00A81AAE" w:rsidRDefault="004719C0" w:rsidP="009D589E">
            <w:pPr>
              <w:spacing w:line="360" w:lineRule="auto"/>
              <w:jc w:val="center"/>
              <w:rPr>
                <w:sz w:val="24"/>
                <w:szCs w:val="24"/>
                <w:lang w:val="en-GB"/>
              </w:rPr>
            </w:pPr>
            <w:r w:rsidRPr="00A81AAE">
              <w:rPr>
                <w:sz w:val="24"/>
                <w:szCs w:val="24"/>
                <w:lang w:val="en-GB"/>
              </w:rPr>
              <w:t>September – November 201</w:t>
            </w:r>
            <w:r w:rsidR="004F1866" w:rsidRPr="00A81AAE">
              <w:rPr>
                <w:sz w:val="24"/>
                <w:szCs w:val="24"/>
                <w:lang w:val="en-GB"/>
              </w:rPr>
              <w:t>8</w:t>
            </w:r>
          </w:p>
        </w:tc>
      </w:tr>
      <w:tr w:rsidR="004719C0" w:rsidRPr="00A81AAE" w:rsidTr="000422DD">
        <w:tc>
          <w:tcPr>
            <w:tcW w:w="4537" w:type="dxa"/>
          </w:tcPr>
          <w:p w:rsidR="004719C0" w:rsidRPr="00A81AAE" w:rsidRDefault="004719C0" w:rsidP="009D589E">
            <w:pPr>
              <w:spacing w:line="360" w:lineRule="auto"/>
              <w:jc w:val="center"/>
              <w:rPr>
                <w:sz w:val="24"/>
                <w:szCs w:val="24"/>
                <w:lang w:val="en-GB"/>
              </w:rPr>
            </w:pPr>
            <w:r w:rsidRPr="00A81AAE">
              <w:rPr>
                <w:sz w:val="24"/>
                <w:szCs w:val="24"/>
                <w:lang w:val="en-GB"/>
              </w:rPr>
              <w:t>Final write-up</w:t>
            </w:r>
          </w:p>
        </w:tc>
        <w:tc>
          <w:tcPr>
            <w:tcW w:w="5812" w:type="dxa"/>
          </w:tcPr>
          <w:p w:rsidR="004719C0" w:rsidRPr="00A81AAE" w:rsidRDefault="004719C0" w:rsidP="009D589E">
            <w:pPr>
              <w:spacing w:line="360" w:lineRule="auto"/>
              <w:jc w:val="center"/>
              <w:rPr>
                <w:sz w:val="24"/>
                <w:szCs w:val="24"/>
                <w:lang w:val="en-GB"/>
              </w:rPr>
            </w:pPr>
            <w:r w:rsidRPr="00A81AAE">
              <w:rPr>
                <w:sz w:val="24"/>
                <w:szCs w:val="24"/>
                <w:lang w:val="en-GB"/>
              </w:rPr>
              <w:t>December 201</w:t>
            </w:r>
            <w:r w:rsidR="004F1866" w:rsidRPr="00A81AAE">
              <w:rPr>
                <w:sz w:val="24"/>
                <w:szCs w:val="24"/>
                <w:lang w:val="en-GB"/>
              </w:rPr>
              <w:t>8</w:t>
            </w:r>
          </w:p>
        </w:tc>
      </w:tr>
    </w:tbl>
    <w:p w:rsidR="004719C0" w:rsidRPr="00A81AAE" w:rsidRDefault="004719C0" w:rsidP="009D589E">
      <w:pPr>
        <w:spacing w:after="0" w:line="360" w:lineRule="auto"/>
        <w:rPr>
          <w:lang w:val="en-GB"/>
        </w:rPr>
      </w:pPr>
    </w:p>
    <w:p w:rsidR="004719C0" w:rsidRPr="00A81AAE" w:rsidRDefault="004719C0" w:rsidP="009D589E">
      <w:pPr>
        <w:spacing w:after="0" w:line="360" w:lineRule="auto"/>
        <w:rPr>
          <w:b/>
          <w:sz w:val="28"/>
          <w:szCs w:val="28"/>
          <w:lang w:val="en-GB"/>
        </w:rPr>
      </w:pPr>
      <w:r w:rsidRPr="00A81AAE">
        <w:rPr>
          <w:b/>
          <w:sz w:val="28"/>
          <w:szCs w:val="28"/>
          <w:lang w:val="en-GB"/>
        </w:rPr>
        <w:lastRenderedPageBreak/>
        <w:t>8.0 Estimated Budget Summary</w:t>
      </w:r>
    </w:p>
    <w:tbl>
      <w:tblPr>
        <w:tblW w:w="105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7824"/>
        <w:gridCol w:w="1896"/>
      </w:tblGrid>
      <w:tr w:rsidR="004719C0" w:rsidRPr="00A81AAE" w:rsidTr="000422DD">
        <w:tc>
          <w:tcPr>
            <w:tcW w:w="824" w:type="dxa"/>
            <w:tcBorders>
              <w:top w:val="single" w:sz="4" w:space="0" w:color="auto"/>
              <w:left w:val="single" w:sz="4" w:space="0" w:color="auto"/>
              <w:bottom w:val="single" w:sz="4" w:space="0" w:color="auto"/>
              <w:right w:val="single" w:sz="4" w:space="0" w:color="auto"/>
            </w:tcBorders>
            <w:shd w:val="clear" w:color="auto" w:fill="D99594"/>
            <w:hideMark/>
          </w:tcPr>
          <w:p w:rsidR="004719C0" w:rsidRPr="00A81AAE" w:rsidRDefault="004719C0" w:rsidP="009D589E">
            <w:pPr>
              <w:spacing w:after="0" w:line="360" w:lineRule="auto"/>
              <w:jc w:val="center"/>
              <w:rPr>
                <w:b/>
                <w:lang w:val="en-GB"/>
              </w:rPr>
            </w:pPr>
            <w:r w:rsidRPr="00A81AAE">
              <w:rPr>
                <w:b/>
                <w:lang w:val="en-GB"/>
              </w:rPr>
              <w:t xml:space="preserve">      Stage</w:t>
            </w:r>
          </w:p>
        </w:tc>
        <w:tc>
          <w:tcPr>
            <w:tcW w:w="7824" w:type="dxa"/>
            <w:tcBorders>
              <w:top w:val="single" w:sz="4" w:space="0" w:color="auto"/>
              <w:left w:val="single" w:sz="4" w:space="0" w:color="auto"/>
              <w:bottom w:val="single" w:sz="4" w:space="0" w:color="auto"/>
              <w:right w:val="single" w:sz="4" w:space="0" w:color="auto"/>
            </w:tcBorders>
            <w:shd w:val="clear" w:color="auto" w:fill="D99594"/>
            <w:hideMark/>
          </w:tcPr>
          <w:p w:rsidR="004719C0" w:rsidRPr="00A81AAE" w:rsidRDefault="004719C0" w:rsidP="009D589E">
            <w:pPr>
              <w:spacing w:after="0" w:line="360" w:lineRule="auto"/>
              <w:jc w:val="center"/>
              <w:rPr>
                <w:b/>
                <w:lang w:val="en-GB"/>
              </w:rPr>
            </w:pPr>
            <w:r w:rsidRPr="00A81AAE">
              <w:rPr>
                <w:b/>
                <w:lang w:val="en-GB"/>
              </w:rPr>
              <w:t>Description</w:t>
            </w:r>
          </w:p>
        </w:tc>
        <w:tc>
          <w:tcPr>
            <w:tcW w:w="1896" w:type="dxa"/>
            <w:tcBorders>
              <w:top w:val="single" w:sz="4" w:space="0" w:color="auto"/>
              <w:left w:val="single" w:sz="4" w:space="0" w:color="auto"/>
              <w:bottom w:val="single" w:sz="4" w:space="0" w:color="auto"/>
              <w:right w:val="single" w:sz="4" w:space="0" w:color="auto"/>
            </w:tcBorders>
            <w:shd w:val="clear" w:color="auto" w:fill="D99594"/>
            <w:hideMark/>
          </w:tcPr>
          <w:p w:rsidR="004719C0" w:rsidRPr="00A81AAE" w:rsidRDefault="004719C0" w:rsidP="009D589E">
            <w:pPr>
              <w:spacing w:after="0" w:line="360" w:lineRule="auto"/>
              <w:jc w:val="center"/>
              <w:rPr>
                <w:b/>
                <w:lang w:val="en-GB"/>
              </w:rPr>
            </w:pPr>
            <w:r w:rsidRPr="00A81AAE">
              <w:rPr>
                <w:b/>
                <w:lang w:val="en-GB"/>
              </w:rPr>
              <w:t>Cost</w:t>
            </w:r>
          </w:p>
        </w:tc>
      </w:tr>
      <w:tr w:rsidR="004719C0" w:rsidRPr="00A81AAE" w:rsidTr="000422DD">
        <w:tc>
          <w:tcPr>
            <w:tcW w:w="824"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lang w:val="en-GB"/>
              </w:rPr>
            </w:pPr>
            <w:r w:rsidRPr="00A81AAE">
              <w:rPr>
                <w:lang w:val="en-GB"/>
              </w:rPr>
              <w:t xml:space="preserve">   1</w:t>
            </w:r>
          </w:p>
        </w:tc>
        <w:tc>
          <w:tcPr>
            <w:tcW w:w="7824"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lang w:val="en-GB"/>
              </w:rPr>
            </w:pPr>
            <w:r w:rsidRPr="00A81AAE">
              <w:rPr>
                <w:lang w:val="en-GB"/>
              </w:rPr>
              <w:t>Printing of survey materials [200 copies of questionnaire]</w:t>
            </w:r>
          </w:p>
        </w:tc>
        <w:tc>
          <w:tcPr>
            <w:tcW w:w="1896"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lang w:val="en-GB"/>
              </w:rPr>
            </w:pPr>
            <w:r w:rsidRPr="00A81AAE">
              <w:rPr>
                <w:lang w:val="en-GB"/>
              </w:rPr>
              <w:t>350</w:t>
            </w:r>
          </w:p>
        </w:tc>
      </w:tr>
      <w:tr w:rsidR="004719C0" w:rsidRPr="00A81AAE" w:rsidTr="000422DD">
        <w:tc>
          <w:tcPr>
            <w:tcW w:w="824"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lang w:val="en-GB"/>
              </w:rPr>
            </w:pPr>
            <w:r w:rsidRPr="00A81AAE">
              <w:rPr>
                <w:lang w:val="en-GB"/>
              </w:rPr>
              <w:t xml:space="preserve">   2</w:t>
            </w:r>
          </w:p>
        </w:tc>
        <w:tc>
          <w:tcPr>
            <w:tcW w:w="7824"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5C55DE" w:rsidP="009D589E">
            <w:pPr>
              <w:spacing w:after="0" w:line="360" w:lineRule="auto"/>
              <w:jc w:val="center"/>
              <w:rPr>
                <w:lang w:val="en-GB"/>
              </w:rPr>
            </w:pPr>
            <w:r>
              <w:rPr>
                <w:lang w:val="en-GB"/>
              </w:rPr>
              <w:t xml:space="preserve">Stationery, </w:t>
            </w:r>
            <w:r w:rsidR="004719C0" w:rsidRPr="00A81AAE">
              <w:rPr>
                <w:lang w:val="en-GB"/>
              </w:rPr>
              <w:t xml:space="preserve">storage device </w:t>
            </w:r>
            <w:r>
              <w:rPr>
                <w:lang w:val="en-GB"/>
              </w:rPr>
              <w:t xml:space="preserve">and logistical arrangements – FTRA Registration, etc. </w:t>
            </w:r>
          </w:p>
        </w:tc>
        <w:tc>
          <w:tcPr>
            <w:tcW w:w="1896"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lang w:val="en-GB"/>
              </w:rPr>
            </w:pPr>
            <w:r w:rsidRPr="00A81AAE">
              <w:rPr>
                <w:lang w:val="en-GB"/>
              </w:rPr>
              <w:t>400</w:t>
            </w:r>
          </w:p>
        </w:tc>
      </w:tr>
      <w:tr w:rsidR="004719C0" w:rsidRPr="00A81AAE" w:rsidTr="000422DD">
        <w:tc>
          <w:tcPr>
            <w:tcW w:w="824"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lang w:val="en-GB"/>
              </w:rPr>
            </w:pPr>
            <w:r w:rsidRPr="00A81AAE">
              <w:rPr>
                <w:lang w:val="en-GB"/>
              </w:rPr>
              <w:t xml:space="preserve">   3</w:t>
            </w:r>
          </w:p>
        </w:tc>
        <w:tc>
          <w:tcPr>
            <w:tcW w:w="7824"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lang w:val="en-GB"/>
              </w:rPr>
            </w:pPr>
            <w:r w:rsidRPr="00A81AAE">
              <w:rPr>
                <w:lang w:val="en-GB"/>
              </w:rPr>
              <w:t xml:space="preserve">         Field Visits to conduct  interviews and hand out questionnaires to selected</w:t>
            </w:r>
            <w:r w:rsidR="004F1866" w:rsidRPr="00A81AAE">
              <w:rPr>
                <w:lang w:val="en-GB"/>
              </w:rPr>
              <w:t xml:space="preserve"> areas of </w:t>
            </w:r>
            <w:proofErr w:type="spellStart"/>
            <w:r w:rsidR="004F1866" w:rsidRPr="00A81AAE">
              <w:rPr>
                <w:lang w:val="en-GB"/>
              </w:rPr>
              <w:t>Sigatoka</w:t>
            </w:r>
            <w:proofErr w:type="spellEnd"/>
            <w:r w:rsidRPr="00A81AAE">
              <w:rPr>
                <w:lang w:val="en-GB"/>
              </w:rPr>
              <w:t xml:space="preserve"> -</w:t>
            </w:r>
            <w:r w:rsidR="004F1866" w:rsidRPr="00A81AAE">
              <w:rPr>
                <w:lang w:val="en-GB"/>
              </w:rPr>
              <w:t xml:space="preserve"> </w:t>
            </w:r>
            <w:r w:rsidRPr="00A81AAE">
              <w:rPr>
                <w:lang w:val="en-GB"/>
              </w:rPr>
              <w:t>Phase 1</w:t>
            </w:r>
            <w:r w:rsidR="005D6AA8">
              <w:rPr>
                <w:lang w:val="en-GB"/>
              </w:rPr>
              <w:t xml:space="preserve"> – 4 visits (per diem plus travelling allowance)</w:t>
            </w:r>
          </w:p>
        </w:tc>
        <w:tc>
          <w:tcPr>
            <w:tcW w:w="1896"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5D6AA8" w:rsidP="009D589E">
            <w:pPr>
              <w:spacing w:after="0" w:line="360" w:lineRule="auto"/>
              <w:jc w:val="center"/>
              <w:rPr>
                <w:lang w:val="en-GB"/>
              </w:rPr>
            </w:pPr>
            <w:r>
              <w:rPr>
                <w:lang w:val="en-GB"/>
              </w:rPr>
              <w:t>3252</w:t>
            </w:r>
          </w:p>
        </w:tc>
      </w:tr>
      <w:tr w:rsidR="004719C0" w:rsidRPr="00A81AAE" w:rsidTr="000422DD">
        <w:tc>
          <w:tcPr>
            <w:tcW w:w="824"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lang w:val="en-GB"/>
              </w:rPr>
            </w:pPr>
            <w:r w:rsidRPr="00A81AAE">
              <w:rPr>
                <w:lang w:val="en-GB"/>
              </w:rPr>
              <w:t xml:space="preserve">   4</w:t>
            </w:r>
          </w:p>
        </w:tc>
        <w:tc>
          <w:tcPr>
            <w:tcW w:w="7824"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ind w:left="0"/>
              <w:rPr>
                <w:lang w:val="en-GB"/>
              </w:rPr>
            </w:pPr>
            <w:r w:rsidRPr="00A81AAE">
              <w:rPr>
                <w:lang w:val="en-GB"/>
              </w:rPr>
              <w:t xml:space="preserve"> Field Visits to conduct  interviews and collect questionnaires from          selected </w:t>
            </w:r>
            <w:r w:rsidR="004F1866" w:rsidRPr="00A81AAE">
              <w:rPr>
                <w:lang w:val="en-GB"/>
              </w:rPr>
              <w:t>areas of Sigatoka</w:t>
            </w:r>
            <w:r w:rsidRPr="00A81AAE">
              <w:rPr>
                <w:lang w:val="en-GB"/>
              </w:rPr>
              <w:t xml:space="preserve"> - Phase 2, 3 and 4 </w:t>
            </w:r>
            <w:r w:rsidR="005D6AA8">
              <w:rPr>
                <w:lang w:val="en-GB"/>
              </w:rPr>
              <w:t>– 8 visits (per diem plus travelling allowance)</w:t>
            </w:r>
          </w:p>
        </w:tc>
        <w:tc>
          <w:tcPr>
            <w:tcW w:w="1896"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5D6AA8" w:rsidP="009D589E">
            <w:pPr>
              <w:spacing w:after="0" w:line="360" w:lineRule="auto"/>
              <w:jc w:val="center"/>
              <w:rPr>
                <w:lang w:val="en-GB"/>
              </w:rPr>
            </w:pPr>
            <w:r>
              <w:rPr>
                <w:lang w:val="en-GB"/>
              </w:rPr>
              <w:t>6504</w:t>
            </w:r>
          </w:p>
        </w:tc>
      </w:tr>
      <w:tr w:rsidR="004719C0" w:rsidRPr="00A81AAE" w:rsidTr="000422DD">
        <w:tc>
          <w:tcPr>
            <w:tcW w:w="824"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lang w:val="en-GB"/>
              </w:rPr>
            </w:pPr>
            <w:r w:rsidRPr="00A81AAE">
              <w:rPr>
                <w:lang w:val="en-GB"/>
              </w:rPr>
              <w:t xml:space="preserve">   5</w:t>
            </w:r>
          </w:p>
        </w:tc>
        <w:tc>
          <w:tcPr>
            <w:tcW w:w="7824"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lang w:val="en-GB"/>
              </w:rPr>
            </w:pPr>
            <w:r w:rsidRPr="00A81AAE">
              <w:rPr>
                <w:lang w:val="en-GB"/>
              </w:rPr>
              <w:t>Incidental Expenses</w:t>
            </w:r>
          </w:p>
        </w:tc>
        <w:tc>
          <w:tcPr>
            <w:tcW w:w="1896"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lang w:val="en-GB"/>
              </w:rPr>
            </w:pPr>
            <w:r w:rsidRPr="00A81AAE">
              <w:rPr>
                <w:lang w:val="en-GB"/>
              </w:rPr>
              <w:t>250</w:t>
            </w:r>
          </w:p>
        </w:tc>
      </w:tr>
      <w:tr w:rsidR="004719C0" w:rsidRPr="00A81AAE" w:rsidTr="000422DD">
        <w:tc>
          <w:tcPr>
            <w:tcW w:w="824" w:type="dxa"/>
            <w:tcBorders>
              <w:top w:val="single" w:sz="4" w:space="0" w:color="auto"/>
              <w:left w:val="single" w:sz="4" w:space="0" w:color="auto"/>
              <w:bottom w:val="single" w:sz="4" w:space="0" w:color="auto"/>
              <w:right w:val="single" w:sz="4" w:space="0" w:color="auto"/>
            </w:tcBorders>
            <w:shd w:val="clear" w:color="auto" w:fill="C2D69B"/>
          </w:tcPr>
          <w:p w:rsidR="004719C0" w:rsidRPr="00A81AAE" w:rsidRDefault="004719C0" w:rsidP="009D589E">
            <w:pPr>
              <w:spacing w:after="0" w:line="360" w:lineRule="auto"/>
              <w:jc w:val="center"/>
              <w:rPr>
                <w:lang w:val="en-GB"/>
              </w:rPr>
            </w:pPr>
          </w:p>
        </w:tc>
        <w:tc>
          <w:tcPr>
            <w:tcW w:w="7824"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b/>
                <w:lang w:val="en-GB"/>
              </w:rPr>
            </w:pPr>
            <w:r w:rsidRPr="00A81AAE">
              <w:rPr>
                <w:b/>
                <w:lang w:val="en-GB"/>
              </w:rPr>
              <w:t>Total</w:t>
            </w:r>
          </w:p>
        </w:tc>
        <w:tc>
          <w:tcPr>
            <w:tcW w:w="1896" w:type="dxa"/>
            <w:tcBorders>
              <w:top w:val="single" w:sz="4" w:space="0" w:color="auto"/>
              <w:left w:val="single" w:sz="4" w:space="0" w:color="auto"/>
              <w:bottom w:val="single" w:sz="4" w:space="0" w:color="auto"/>
              <w:right w:val="single" w:sz="4" w:space="0" w:color="auto"/>
            </w:tcBorders>
            <w:shd w:val="clear" w:color="auto" w:fill="C2D69B"/>
            <w:hideMark/>
          </w:tcPr>
          <w:p w:rsidR="004719C0" w:rsidRPr="00A81AAE" w:rsidRDefault="004719C0" w:rsidP="009D589E">
            <w:pPr>
              <w:spacing w:after="0" w:line="360" w:lineRule="auto"/>
              <w:jc w:val="center"/>
              <w:rPr>
                <w:b/>
                <w:lang w:val="en-GB"/>
              </w:rPr>
            </w:pPr>
            <w:r w:rsidRPr="00A81AAE">
              <w:rPr>
                <w:b/>
                <w:lang w:val="en-GB"/>
              </w:rPr>
              <w:t>FJD $</w:t>
            </w:r>
            <w:r w:rsidR="005D6AA8">
              <w:rPr>
                <w:b/>
                <w:lang w:val="en-GB"/>
              </w:rPr>
              <w:t>10756</w:t>
            </w:r>
          </w:p>
        </w:tc>
      </w:tr>
    </w:tbl>
    <w:p w:rsidR="004B3C9A" w:rsidRPr="00A81AAE" w:rsidRDefault="004B3C9A" w:rsidP="009D589E">
      <w:pPr>
        <w:spacing w:after="0" w:line="360" w:lineRule="auto"/>
        <w:rPr>
          <w:b/>
          <w:sz w:val="28"/>
          <w:szCs w:val="28"/>
          <w:lang w:val="en-GB"/>
        </w:rPr>
      </w:pPr>
    </w:p>
    <w:p w:rsidR="004719C0" w:rsidRPr="00A81AAE" w:rsidRDefault="004719C0" w:rsidP="009D589E">
      <w:pPr>
        <w:spacing w:after="0" w:line="360" w:lineRule="auto"/>
        <w:rPr>
          <w:b/>
          <w:sz w:val="28"/>
          <w:szCs w:val="28"/>
          <w:lang w:val="en-GB"/>
        </w:rPr>
      </w:pPr>
      <w:r w:rsidRPr="00A81AAE">
        <w:rPr>
          <w:b/>
          <w:sz w:val="28"/>
          <w:szCs w:val="28"/>
          <w:lang w:val="en-GB"/>
        </w:rPr>
        <w:t xml:space="preserve">9.0 References </w:t>
      </w:r>
    </w:p>
    <w:p w:rsidR="00903B76" w:rsidRPr="00A81AAE" w:rsidRDefault="00903B76" w:rsidP="00903B76">
      <w:pPr>
        <w:autoSpaceDE w:val="0"/>
        <w:autoSpaceDN w:val="0"/>
        <w:adjustRightInd w:val="0"/>
        <w:spacing w:after="0" w:line="360" w:lineRule="auto"/>
        <w:rPr>
          <w:rFonts w:cs="Times New Roman"/>
          <w:bCs/>
          <w:sz w:val="23"/>
          <w:szCs w:val="23"/>
          <w:lang w:bidi="hi-IN"/>
        </w:rPr>
      </w:pPr>
      <w:proofErr w:type="spellStart"/>
      <w:r w:rsidRPr="00A81AAE">
        <w:rPr>
          <w:rFonts w:cs="Times New Roman"/>
          <w:bCs/>
          <w:sz w:val="23"/>
          <w:szCs w:val="23"/>
          <w:lang w:bidi="hi-IN"/>
        </w:rPr>
        <w:t>Alifereti</w:t>
      </w:r>
      <w:proofErr w:type="spellEnd"/>
      <w:r w:rsidRPr="00A81AAE">
        <w:rPr>
          <w:rFonts w:cs="Times New Roman"/>
          <w:bCs/>
          <w:sz w:val="23"/>
          <w:szCs w:val="23"/>
          <w:lang w:bidi="hi-IN"/>
        </w:rPr>
        <w:t xml:space="preserve">, V. L. (2007). </w:t>
      </w:r>
      <w:proofErr w:type="gramStart"/>
      <w:r w:rsidRPr="00A81AAE">
        <w:rPr>
          <w:rFonts w:cs="Times New Roman"/>
          <w:bCs/>
          <w:i/>
          <w:sz w:val="23"/>
          <w:szCs w:val="23"/>
          <w:lang w:bidi="hi-IN"/>
        </w:rPr>
        <w:t>An investigation into the status of Fijian language as a subject in schools</w:t>
      </w:r>
      <w:r w:rsidRPr="00A81AAE">
        <w:rPr>
          <w:rFonts w:cs="Times New Roman"/>
          <w:bCs/>
          <w:sz w:val="23"/>
          <w:szCs w:val="23"/>
          <w:lang w:bidi="hi-IN"/>
        </w:rPr>
        <w:t>.</w:t>
      </w:r>
      <w:proofErr w:type="gramEnd"/>
      <w:r w:rsidRPr="00A81AAE">
        <w:rPr>
          <w:rFonts w:cs="Times New Roman"/>
          <w:bCs/>
          <w:sz w:val="23"/>
          <w:szCs w:val="23"/>
          <w:lang w:bidi="hi-IN"/>
        </w:rPr>
        <w:t xml:space="preserve"> </w:t>
      </w:r>
      <w:r w:rsidRPr="00A81AAE">
        <w:rPr>
          <w:rFonts w:cs="Times New Roman"/>
          <w:bCs/>
          <w:sz w:val="23"/>
          <w:szCs w:val="23"/>
          <w:lang w:bidi="hi-IN"/>
        </w:rPr>
        <w:tab/>
        <w:t>University of the South Pacific, School of Education, MA Thesis, 1-166.</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r w:rsidRPr="00A81AAE">
        <w:rPr>
          <w:rFonts w:cs="Times New Roman"/>
          <w:bCs/>
          <w:sz w:val="23"/>
          <w:szCs w:val="23"/>
          <w:lang w:bidi="hi-IN"/>
        </w:rPr>
        <w:t xml:space="preserve">Burton, J. W. (1910). </w:t>
      </w:r>
      <w:proofErr w:type="gramStart"/>
      <w:r w:rsidRPr="00A81AAE">
        <w:rPr>
          <w:rFonts w:cs="Times New Roman"/>
          <w:bCs/>
          <w:i/>
          <w:sz w:val="23"/>
          <w:szCs w:val="23"/>
          <w:lang w:bidi="hi-IN"/>
        </w:rPr>
        <w:t>The Fiji of Today</w:t>
      </w:r>
      <w:r w:rsidRPr="00A81AAE">
        <w:rPr>
          <w:rFonts w:cs="Times New Roman"/>
          <w:bCs/>
          <w:sz w:val="23"/>
          <w:szCs w:val="23"/>
          <w:lang w:bidi="hi-IN"/>
        </w:rPr>
        <w:t>.</w:t>
      </w:r>
      <w:proofErr w:type="gramEnd"/>
      <w:r w:rsidRPr="00A81AAE">
        <w:rPr>
          <w:rFonts w:cs="Times New Roman"/>
          <w:bCs/>
          <w:sz w:val="23"/>
          <w:szCs w:val="23"/>
          <w:lang w:bidi="hi-IN"/>
        </w:rPr>
        <w:t xml:space="preserve"> London: C. H. Kelly.</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proofErr w:type="gramStart"/>
      <w:r w:rsidRPr="00A81AAE">
        <w:rPr>
          <w:rFonts w:cs="Times New Roman"/>
          <w:bCs/>
          <w:sz w:val="23"/>
          <w:szCs w:val="23"/>
          <w:lang w:bidi="hi-IN"/>
        </w:rPr>
        <w:t>Coulter, J. W. (1942).</w:t>
      </w:r>
      <w:proofErr w:type="gramEnd"/>
      <w:r w:rsidRPr="00A81AAE">
        <w:rPr>
          <w:rFonts w:cs="Times New Roman"/>
          <w:bCs/>
          <w:sz w:val="23"/>
          <w:szCs w:val="23"/>
          <w:lang w:bidi="hi-IN"/>
        </w:rPr>
        <w:t xml:space="preserve"> </w:t>
      </w:r>
      <w:r w:rsidRPr="00A81AAE">
        <w:rPr>
          <w:rFonts w:cs="Times New Roman"/>
          <w:bCs/>
          <w:i/>
          <w:sz w:val="23"/>
          <w:szCs w:val="23"/>
          <w:lang w:bidi="hi-IN"/>
        </w:rPr>
        <w:t>Fiji – little India of the Pacific</w:t>
      </w:r>
      <w:r w:rsidRPr="00A81AAE">
        <w:rPr>
          <w:rFonts w:cs="Times New Roman"/>
          <w:bCs/>
          <w:sz w:val="23"/>
          <w:szCs w:val="23"/>
          <w:lang w:bidi="hi-IN"/>
        </w:rPr>
        <w:t>. Chicago: The University of Chicago Press.</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r w:rsidRPr="00A81AAE">
        <w:rPr>
          <w:rFonts w:cs="Times New Roman"/>
          <w:bCs/>
          <w:sz w:val="23"/>
          <w:szCs w:val="23"/>
          <w:lang w:bidi="hi-IN"/>
        </w:rPr>
        <w:t xml:space="preserve">Creswell, J. W. (2009). </w:t>
      </w:r>
      <w:r w:rsidRPr="00A81AAE">
        <w:rPr>
          <w:rFonts w:cs="Times New Roman"/>
          <w:bCs/>
          <w:i/>
          <w:sz w:val="23"/>
          <w:szCs w:val="23"/>
          <w:lang w:bidi="hi-IN"/>
        </w:rPr>
        <w:t xml:space="preserve">Research design: </w:t>
      </w:r>
      <w:proofErr w:type="gramStart"/>
      <w:r w:rsidRPr="00A81AAE">
        <w:rPr>
          <w:rFonts w:cs="Times New Roman"/>
          <w:bCs/>
          <w:i/>
          <w:sz w:val="23"/>
          <w:szCs w:val="23"/>
          <w:lang w:bidi="hi-IN"/>
        </w:rPr>
        <w:t>Qualitative, quantitative, and mixed methods approaches</w:t>
      </w:r>
      <w:proofErr w:type="gramEnd"/>
      <w:r w:rsidRPr="00A81AAE">
        <w:rPr>
          <w:rFonts w:cs="Times New Roman"/>
          <w:bCs/>
          <w:sz w:val="23"/>
          <w:szCs w:val="23"/>
          <w:lang w:bidi="hi-IN"/>
        </w:rPr>
        <w:t xml:space="preserve">. </w:t>
      </w:r>
    </w:p>
    <w:p w:rsidR="00903B76" w:rsidRPr="00A81AAE" w:rsidRDefault="00903B76" w:rsidP="00903B76">
      <w:pPr>
        <w:autoSpaceDE w:val="0"/>
        <w:autoSpaceDN w:val="0"/>
        <w:adjustRightInd w:val="0"/>
        <w:spacing w:after="0" w:line="360" w:lineRule="auto"/>
        <w:ind w:firstLine="720"/>
        <w:rPr>
          <w:rFonts w:eastAsia="Times New Roman" w:cs="Arial"/>
          <w:sz w:val="28"/>
          <w:szCs w:val="28"/>
        </w:rPr>
      </w:pPr>
      <w:r w:rsidRPr="00A81AAE">
        <w:rPr>
          <w:rFonts w:cs="Times New Roman"/>
          <w:bCs/>
          <w:sz w:val="23"/>
          <w:szCs w:val="23"/>
          <w:lang w:bidi="hi-IN"/>
        </w:rPr>
        <w:t>3rd ed. Los Angeles: Sage Publications, Inc.</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proofErr w:type="spellStart"/>
      <w:proofErr w:type="gramStart"/>
      <w:r w:rsidRPr="00A81AAE">
        <w:rPr>
          <w:rFonts w:cs="Times New Roman"/>
          <w:bCs/>
          <w:sz w:val="23"/>
          <w:szCs w:val="23"/>
          <w:lang w:bidi="hi-IN"/>
        </w:rPr>
        <w:t>Denzin</w:t>
      </w:r>
      <w:proofErr w:type="spellEnd"/>
      <w:r w:rsidRPr="00A81AAE">
        <w:rPr>
          <w:rFonts w:cs="Times New Roman"/>
          <w:bCs/>
          <w:sz w:val="23"/>
          <w:szCs w:val="23"/>
          <w:lang w:bidi="hi-IN"/>
        </w:rPr>
        <w:t xml:space="preserve">, N. K. &amp; </w:t>
      </w:r>
      <w:proofErr w:type="spellStart"/>
      <w:r w:rsidRPr="00A81AAE">
        <w:rPr>
          <w:rFonts w:cs="Times New Roman"/>
          <w:bCs/>
          <w:sz w:val="23"/>
          <w:szCs w:val="23"/>
          <w:lang w:bidi="hi-IN"/>
        </w:rPr>
        <w:t>Yvonna</w:t>
      </w:r>
      <w:proofErr w:type="spellEnd"/>
      <w:r w:rsidRPr="00A81AAE">
        <w:rPr>
          <w:rFonts w:cs="Times New Roman"/>
          <w:bCs/>
          <w:sz w:val="23"/>
          <w:szCs w:val="23"/>
          <w:lang w:bidi="hi-IN"/>
        </w:rPr>
        <w:t>, S. L. (2000).</w:t>
      </w:r>
      <w:proofErr w:type="gramEnd"/>
      <w:r w:rsidRPr="00A81AAE">
        <w:rPr>
          <w:rFonts w:cs="Times New Roman"/>
          <w:bCs/>
          <w:sz w:val="23"/>
          <w:szCs w:val="23"/>
          <w:lang w:bidi="hi-IN"/>
        </w:rPr>
        <w:t xml:space="preserve"> </w:t>
      </w:r>
      <w:proofErr w:type="gramStart"/>
      <w:r w:rsidRPr="00A81AAE">
        <w:rPr>
          <w:rFonts w:cs="Times New Roman"/>
          <w:bCs/>
          <w:i/>
          <w:sz w:val="23"/>
          <w:szCs w:val="23"/>
          <w:lang w:bidi="hi-IN"/>
        </w:rPr>
        <w:t>Handbook of qualitative research</w:t>
      </w:r>
      <w:r w:rsidRPr="00A81AAE">
        <w:rPr>
          <w:rFonts w:cs="Times New Roman"/>
          <w:bCs/>
          <w:sz w:val="23"/>
          <w:szCs w:val="23"/>
          <w:lang w:bidi="hi-IN"/>
        </w:rPr>
        <w:t>.</w:t>
      </w:r>
      <w:proofErr w:type="gramEnd"/>
      <w:r w:rsidRPr="00A81AAE">
        <w:rPr>
          <w:rFonts w:cs="Times New Roman"/>
          <w:bCs/>
          <w:sz w:val="23"/>
          <w:szCs w:val="23"/>
          <w:lang w:bidi="hi-IN"/>
        </w:rPr>
        <w:t xml:space="preserve"> Thousand Oaks: Sage  </w:t>
      </w:r>
      <w:r w:rsidRPr="00A81AAE">
        <w:rPr>
          <w:rFonts w:cs="Times New Roman"/>
          <w:bCs/>
          <w:sz w:val="23"/>
          <w:szCs w:val="23"/>
          <w:lang w:bidi="hi-IN"/>
        </w:rPr>
        <w:tab/>
        <w:t>Publications, Inc.</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r w:rsidRPr="00A81AAE">
        <w:rPr>
          <w:rFonts w:cs="Times New Roman"/>
          <w:noProof/>
          <w:sz w:val="23"/>
          <w:szCs w:val="23"/>
        </w:rPr>
        <w:t xml:space="preserve">Government of Fiji. (1969). </w:t>
      </w:r>
      <w:r w:rsidRPr="00A81AAE">
        <w:rPr>
          <w:rFonts w:cs="Times New Roman"/>
          <w:i/>
          <w:iCs/>
          <w:noProof/>
          <w:sz w:val="23"/>
          <w:szCs w:val="23"/>
        </w:rPr>
        <w:t>Education for Modern Fiji - Report of the Fiji Education Commission.</w:t>
      </w:r>
      <w:r w:rsidRPr="00A81AAE">
        <w:rPr>
          <w:rFonts w:cs="Times New Roman"/>
          <w:noProof/>
          <w:sz w:val="23"/>
          <w:szCs w:val="23"/>
        </w:rPr>
        <w:t xml:space="preserve"> Suva: </w:t>
      </w:r>
      <w:r w:rsidRPr="00A81AAE">
        <w:rPr>
          <w:rFonts w:cs="Times New Roman"/>
          <w:noProof/>
          <w:sz w:val="23"/>
          <w:szCs w:val="23"/>
        </w:rPr>
        <w:tab/>
        <w:t>Department of Education.</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proofErr w:type="spellStart"/>
      <w:r w:rsidRPr="00A81AAE">
        <w:rPr>
          <w:rFonts w:cs="Times New Roman"/>
          <w:bCs/>
          <w:sz w:val="23"/>
          <w:szCs w:val="23"/>
          <w:lang w:bidi="hi-IN"/>
        </w:rPr>
        <w:lastRenderedPageBreak/>
        <w:t>Gillion</w:t>
      </w:r>
      <w:proofErr w:type="spellEnd"/>
      <w:r w:rsidRPr="00A81AAE">
        <w:rPr>
          <w:rFonts w:cs="Times New Roman"/>
          <w:bCs/>
          <w:sz w:val="23"/>
          <w:szCs w:val="23"/>
          <w:lang w:bidi="hi-IN"/>
        </w:rPr>
        <w:t xml:space="preserve">, K. L. O. (1962). </w:t>
      </w:r>
      <w:r w:rsidRPr="00A81AAE">
        <w:rPr>
          <w:rFonts w:cs="Times New Roman"/>
          <w:bCs/>
          <w:i/>
          <w:sz w:val="23"/>
          <w:szCs w:val="23"/>
          <w:lang w:bidi="hi-IN"/>
        </w:rPr>
        <w:t>Fiji’s Indian migrants: a history to the end of indenture in 1920</w:t>
      </w:r>
      <w:r w:rsidRPr="00A81AAE">
        <w:rPr>
          <w:rFonts w:cs="Times New Roman"/>
          <w:bCs/>
          <w:sz w:val="23"/>
          <w:szCs w:val="23"/>
          <w:lang w:bidi="hi-IN"/>
        </w:rPr>
        <w:t xml:space="preserve">. </w:t>
      </w:r>
    </w:p>
    <w:p w:rsidR="00903B76" w:rsidRPr="00A81AAE" w:rsidRDefault="00903B76" w:rsidP="00903B76">
      <w:pPr>
        <w:autoSpaceDE w:val="0"/>
        <w:autoSpaceDN w:val="0"/>
        <w:adjustRightInd w:val="0"/>
        <w:spacing w:after="0" w:line="360" w:lineRule="auto"/>
        <w:ind w:firstLine="720"/>
        <w:rPr>
          <w:rFonts w:cs="Times New Roman"/>
          <w:bCs/>
          <w:sz w:val="23"/>
          <w:szCs w:val="23"/>
          <w:lang w:bidi="hi-IN"/>
        </w:rPr>
      </w:pPr>
      <w:r w:rsidRPr="00A81AAE">
        <w:rPr>
          <w:rFonts w:cs="Times New Roman"/>
          <w:bCs/>
          <w:sz w:val="23"/>
          <w:szCs w:val="23"/>
          <w:lang w:bidi="hi-IN"/>
        </w:rPr>
        <w:t>New York: Oxford University Press.</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proofErr w:type="spellStart"/>
      <w:r w:rsidRPr="00A81AAE">
        <w:rPr>
          <w:rFonts w:cs="Times New Roman"/>
          <w:bCs/>
          <w:sz w:val="23"/>
          <w:szCs w:val="23"/>
          <w:lang w:bidi="hi-IN"/>
        </w:rPr>
        <w:t>Gillion</w:t>
      </w:r>
      <w:proofErr w:type="spellEnd"/>
      <w:r w:rsidRPr="00A81AAE">
        <w:rPr>
          <w:rFonts w:cs="Times New Roman"/>
          <w:bCs/>
          <w:sz w:val="23"/>
          <w:szCs w:val="23"/>
          <w:lang w:bidi="hi-IN"/>
        </w:rPr>
        <w:t xml:space="preserve">, K. L. O. (1977). </w:t>
      </w:r>
      <w:r w:rsidRPr="00A81AAE">
        <w:rPr>
          <w:rFonts w:cs="Times New Roman"/>
          <w:bCs/>
          <w:i/>
          <w:sz w:val="23"/>
          <w:szCs w:val="23"/>
          <w:lang w:bidi="hi-IN"/>
        </w:rPr>
        <w:t>The Fiji Indians: Challenge to European disturbance 1920-1946</w:t>
      </w:r>
      <w:r w:rsidRPr="00A81AAE">
        <w:rPr>
          <w:rFonts w:cs="Times New Roman"/>
          <w:bCs/>
          <w:sz w:val="23"/>
          <w:szCs w:val="23"/>
          <w:lang w:bidi="hi-IN"/>
        </w:rPr>
        <w:t xml:space="preserve">. Canberra:  </w:t>
      </w:r>
      <w:r w:rsidRPr="00A81AAE">
        <w:rPr>
          <w:rFonts w:cs="Times New Roman"/>
          <w:bCs/>
          <w:sz w:val="23"/>
          <w:szCs w:val="23"/>
          <w:lang w:bidi="hi-IN"/>
        </w:rPr>
        <w:tab/>
        <w:t>Australian National University Press.</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r w:rsidRPr="00A81AAE">
        <w:rPr>
          <w:rFonts w:cs="Times New Roman"/>
          <w:noProof/>
          <w:sz w:val="23"/>
          <w:szCs w:val="23"/>
        </w:rPr>
        <w:t xml:space="preserve">Kanwal, J. S. (1980). </w:t>
      </w:r>
      <w:r w:rsidRPr="00A81AAE">
        <w:rPr>
          <w:rFonts w:cs="Times New Roman"/>
          <w:i/>
          <w:iCs/>
          <w:noProof/>
          <w:sz w:val="23"/>
          <w:szCs w:val="23"/>
        </w:rPr>
        <w:t>A Hundred Years of Hindi in Fiji.</w:t>
      </w:r>
      <w:r w:rsidRPr="00A81AAE">
        <w:rPr>
          <w:rFonts w:cs="Times New Roman"/>
          <w:noProof/>
          <w:sz w:val="23"/>
          <w:szCs w:val="23"/>
        </w:rPr>
        <w:t xml:space="preserve"> Suva: Fiji Teachers Union.</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r w:rsidRPr="00A81AAE">
        <w:rPr>
          <w:rFonts w:cs="Times New Roman"/>
          <w:bCs/>
          <w:sz w:val="23"/>
          <w:szCs w:val="23"/>
          <w:lang w:bidi="hi-IN"/>
        </w:rPr>
        <w:t xml:space="preserve">Lal, B. V. (1998). </w:t>
      </w:r>
      <w:r w:rsidRPr="00A81AAE">
        <w:rPr>
          <w:rFonts w:cs="Times New Roman"/>
          <w:bCs/>
          <w:i/>
          <w:sz w:val="23"/>
          <w:szCs w:val="23"/>
          <w:lang w:bidi="hi-IN"/>
        </w:rPr>
        <w:t xml:space="preserve">Crossing the Kala </w:t>
      </w:r>
      <w:proofErr w:type="spellStart"/>
      <w:r w:rsidRPr="00A81AAE">
        <w:rPr>
          <w:rFonts w:cs="Times New Roman"/>
          <w:bCs/>
          <w:i/>
          <w:sz w:val="23"/>
          <w:szCs w:val="23"/>
          <w:lang w:bidi="hi-IN"/>
        </w:rPr>
        <w:t>Pani</w:t>
      </w:r>
      <w:proofErr w:type="spellEnd"/>
      <w:r w:rsidRPr="00A81AAE">
        <w:rPr>
          <w:rFonts w:cs="Times New Roman"/>
          <w:bCs/>
          <w:i/>
          <w:sz w:val="23"/>
          <w:szCs w:val="23"/>
          <w:lang w:bidi="hi-IN"/>
        </w:rPr>
        <w:t xml:space="preserve">: </w:t>
      </w:r>
      <w:proofErr w:type="gramStart"/>
      <w:r w:rsidRPr="00A81AAE">
        <w:rPr>
          <w:rFonts w:cs="Times New Roman"/>
          <w:bCs/>
          <w:i/>
          <w:sz w:val="23"/>
          <w:szCs w:val="23"/>
          <w:lang w:bidi="hi-IN"/>
        </w:rPr>
        <w:t>A</w:t>
      </w:r>
      <w:proofErr w:type="gramEnd"/>
      <w:r w:rsidRPr="00A81AAE">
        <w:rPr>
          <w:rFonts w:cs="Times New Roman"/>
          <w:bCs/>
          <w:i/>
          <w:sz w:val="23"/>
          <w:szCs w:val="23"/>
          <w:lang w:bidi="hi-IN"/>
        </w:rPr>
        <w:t xml:space="preserve"> documentary history of Indian Indenture in Fiji</w:t>
      </w:r>
      <w:r w:rsidRPr="00A81AAE">
        <w:rPr>
          <w:rFonts w:cs="Times New Roman"/>
          <w:bCs/>
          <w:sz w:val="23"/>
          <w:szCs w:val="23"/>
          <w:lang w:bidi="hi-IN"/>
        </w:rPr>
        <w:t xml:space="preserve">. </w:t>
      </w:r>
      <w:r w:rsidRPr="00A81AAE">
        <w:rPr>
          <w:rFonts w:cs="Times New Roman"/>
          <w:bCs/>
          <w:sz w:val="23"/>
          <w:szCs w:val="23"/>
          <w:lang w:bidi="hi-IN"/>
        </w:rPr>
        <w:tab/>
        <w:t>Canberra: Australian National University.</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proofErr w:type="spellStart"/>
      <w:proofErr w:type="gramStart"/>
      <w:r w:rsidRPr="00A81AAE">
        <w:rPr>
          <w:rFonts w:cs="Times New Roman"/>
          <w:bCs/>
          <w:sz w:val="23"/>
          <w:szCs w:val="23"/>
          <w:lang w:bidi="hi-IN"/>
        </w:rPr>
        <w:t>Leedy</w:t>
      </w:r>
      <w:proofErr w:type="spellEnd"/>
      <w:r w:rsidRPr="00A81AAE">
        <w:rPr>
          <w:rFonts w:cs="Times New Roman"/>
          <w:bCs/>
          <w:sz w:val="23"/>
          <w:szCs w:val="23"/>
          <w:lang w:bidi="hi-IN"/>
        </w:rPr>
        <w:t xml:space="preserve">, P. D. &amp; </w:t>
      </w:r>
      <w:proofErr w:type="spellStart"/>
      <w:r w:rsidRPr="00A81AAE">
        <w:rPr>
          <w:rFonts w:cs="Times New Roman"/>
          <w:bCs/>
          <w:sz w:val="23"/>
          <w:szCs w:val="23"/>
          <w:lang w:bidi="hi-IN"/>
        </w:rPr>
        <w:t>Ormrod</w:t>
      </w:r>
      <w:proofErr w:type="spellEnd"/>
      <w:r w:rsidRPr="00A81AAE">
        <w:rPr>
          <w:rFonts w:cs="Times New Roman"/>
          <w:bCs/>
          <w:sz w:val="23"/>
          <w:szCs w:val="23"/>
          <w:lang w:bidi="hi-IN"/>
        </w:rPr>
        <w:t>, J. E. (2005).</w:t>
      </w:r>
      <w:proofErr w:type="gramEnd"/>
      <w:r w:rsidRPr="00A81AAE">
        <w:rPr>
          <w:rFonts w:cs="Times New Roman"/>
          <w:bCs/>
          <w:sz w:val="23"/>
          <w:szCs w:val="23"/>
          <w:lang w:bidi="hi-IN"/>
        </w:rPr>
        <w:t xml:space="preserve"> </w:t>
      </w:r>
      <w:r w:rsidRPr="00A81AAE">
        <w:rPr>
          <w:rFonts w:cs="Times New Roman"/>
          <w:bCs/>
          <w:i/>
          <w:sz w:val="23"/>
          <w:szCs w:val="23"/>
          <w:lang w:bidi="hi-IN"/>
        </w:rPr>
        <w:t>Practical research: Planning and design</w:t>
      </w:r>
      <w:r w:rsidRPr="00A81AAE">
        <w:rPr>
          <w:rFonts w:cs="Times New Roman"/>
          <w:bCs/>
          <w:sz w:val="23"/>
          <w:szCs w:val="23"/>
          <w:lang w:bidi="hi-IN"/>
        </w:rPr>
        <w:t>. 8</w:t>
      </w:r>
      <w:r w:rsidRPr="00A81AAE">
        <w:rPr>
          <w:rFonts w:cs="Times New Roman"/>
          <w:bCs/>
          <w:sz w:val="23"/>
          <w:szCs w:val="23"/>
          <w:vertAlign w:val="superscript"/>
          <w:lang w:bidi="hi-IN"/>
        </w:rPr>
        <w:t>th</w:t>
      </w:r>
      <w:r w:rsidRPr="00A81AAE">
        <w:rPr>
          <w:rFonts w:cs="Times New Roman"/>
          <w:bCs/>
          <w:sz w:val="23"/>
          <w:szCs w:val="23"/>
          <w:lang w:bidi="hi-IN"/>
        </w:rPr>
        <w:t xml:space="preserve"> ed. Upper Saddle </w:t>
      </w:r>
    </w:p>
    <w:p w:rsidR="00903B76" w:rsidRPr="00A81AAE" w:rsidRDefault="00903B76" w:rsidP="00903B76">
      <w:pPr>
        <w:autoSpaceDE w:val="0"/>
        <w:autoSpaceDN w:val="0"/>
        <w:adjustRightInd w:val="0"/>
        <w:spacing w:after="0" w:line="360" w:lineRule="auto"/>
        <w:ind w:firstLine="720"/>
        <w:rPr>
          <w:rFonts w:cs="Times New Roman"/>
          <w:bCs/>
          <w:sz w:val="23"/>
          <w:szCs w:val="23"/>
          <w:lang w:bidi="hi-IN"/>
        </w:rPr>
      </w:pPr>
      <w:r w:rsidRPr="00A81AAE">
        <w:rPr>
          <w:rFonts w:cs="Times New Roman"/>
          <w:bCs/>
          <w:sz w:val="23"/>
          <w:szCs w:val="23"/>
          <w:lang w:bidi="hi-IN"/>
        </w:rPr>
        <w:t>River, NJ: Prentice Hall.</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r w:rsidRPr="00A81AAE">
        <w:rPr>
          <w:rFonts w:cs="Times New Roman"/>
          <w:bCs/>
          <w:sz w:val="23"/>
          <w:szCs w:val="23"/>
          <w:lang w:bidi="hi-IN"/>
        </w:rPr>
        <w:t xml:space="preserve">Mayer, A. C. (1961). </w:t>
      </w:r>
      <w:r w:rsidRPr="00A81AAE">
        <w:rPr>
          <w:rFonts w:cs="Times New Roman"/>
          <w:bCs/>
          <w:i/>
          <w:sz w:val="23"/>
          <w:szCs w:val="23"/>
          <w:lang w:bidi="hi-IN"/>
        </w:rPr>
        <w:t>Peasants in the Pacific: A study of Fiji Indian rural society</w:t>
      </w:r>
      <w:r w:rsidRPr="00A81AAE">
        <w:rPr>
          <w:rFonts w:cs="Times New Roman"/>
          <w:bCs/>
          <w:sz w:val="23"/>
          <w:szCs w:val="23"/>
          <w:lang w:bidi="hi-IN"/>
        </w:rPr>
        <w:t xml:space="preserve">. London: </w:t>
      </w:r>
      <w:proofErr w:type="spellStart"/>
      <w:r w:rsidRPr="00A81AAE">
        <w:rPr>
          <w:rFonts w:cs="Times New Roman"/>
          <w:bCs/>
          <w:sz w:val="23"/>
          <w:szCs w:val="23"/>
          <w:lang w:bidi="hi-IN"/>
        </w:rPr>
        <w:t>Routledge</w:t>
      </w:r>
      <w:proofErr w:type="spellEnd"/>
      <w:r w:rsidRPr="00A81AAE">
        <w:rPr>
          <w:rFonts w:cs="Times New Roman"/>
          <w:bCs/>
          <w:sz w:val="23"/>
          <w:szCs w:val="23"/>
          <w:lang w:bidi="hi-IN"/>
        </w:rPr>
        <w:t xml:space="preserve">  </w:t>
      </w:r>
      <w:r w:rsidRPr="00A81AAE">
        <w:rPr>
          <w:rFonts w:cs="Times New Roman"/>
          <w:bCs/>
          <w:sz w:val="23"/>
          <w:szCs w:val="23"/>
          <w:lang w:bidi="hi-IN"/>
        </w:rPr>
        <w:tab/>
        <w:t xml:space="preserve">and </w:t>
      </w:r>
      <w:proofErr w:type="spellStart"/>
      <w:r w:rsidRPr="00A81AAE">
        <w:rPr>
          <w:rFonts w:cs="Times New Roman"/>
          <w:bCs/>
          <w:sz w:val="23"/>
          <w:szCs w:val="23"/>
          <w:lang w:bidi="hi-IN"/>
        </w:rPr>
        <w:t>Kegan</w:t>
      </w:r>
      <w:proofErr w:type="spellEnd"/>
      <w:r w:rsidRPr="00A81AAE">
        <w:rPr>
          <w:rFonts w:cs="Times New Roman"/>
          <w:bCs/>
          <w:sz w:val="23"/>
          <w:szCs w:val="23"/>
          <w:lang w:bidi="hi-IN"/>
        </w:rPr>
        <w:t xml:space="preserve"> Paul Ltd.</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r w:rsidRPr="00A81AAE">
        <w:rPr>
          <w:rFonts w:cs="Times New Roman"/>
          <w:bCs/>
          <w:sz w:val="23"/>
          <w:szCs w:val="23"/>
          <w:lang w:bidi="hi-IN"/>
        </w:rPr>
        <w:t xml:space="preserve">Mayer, A. C. (1963). </w:t>
      </w:r>
      <w:proofErr w:type="gramStart"/>
      <w:r w:rsidRPr="00A81AAE">
        <w:rPr>
          <w:rFonts w:cs="Times New Roman"/>
          <w:bCs/>
          <w:i/>
          <w:sz w:val="23"/>
          <w:szCs w:val="23"/>
          <w:lang w:bidi="hi-IN"/>
        </w:rPr>
        <w:t>Indians in Fiji</w:t>
      </w:r>
      <w:r w:rsidRPr="00A81AAE">
        <w:rPr>
          <w:rFonts w:cs="Times New Roman"/>
          <w:bCs/>
          <w:sz w:val="23"/>
          <w:szCs w:val="23"/>
          <w:lang w:bidi="hi-IN"/>
        </w:rPr>
        <w:t>.</w:t>
      </w:r>
      <w:proofErr w:type="gramEnd"/>
      <w:r w:rsidRPr="00A81AAE">
        <w:rPr>
          <w:rFonts w:cs="Times New Roman"/>
          <w:bCs/>
          <w:sz w:val="23"/>
          <w:szCs w:val="23"/>
          <w:lang w:bidi="hi-IN"/>
        </w:rPr>
        <w:t xml:space="preserve"> London: Oxford University Press.</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i/>
          <w:sz w:val="23"/>
          <w:szCs w:val="23"/>
          <w:lang w:bidi="hi-IN"/>
        </w:rPr>
      </w:pPr>
      <w:proofErr w:type="gramStart"/>
      <w:r w:rsidRPr="00A81AAE">
        <w:rPr>
          <w:rFonts w:cs="Times New Roman"/>
          <w:bCs/>
          <w:sz w:val="23"/>
          <w:szCs w:val="23"/>
          <w:lang w:bidi="hi-IN"/>
        </w:rPr>
        <w:t>Ministry of Education.</w:t>
      </w:r>
      <w:proofErr w:type="gramEnd"/>
      <w:r w:rsidRPr="00A81AAE">
        <w:rPr>
          <w:rFonts w:cs="Times New Roman"/>
          <w:bCs/>
          <w:sz w:val="23"/>
          <w:szCs w:val="23"/>
          <w:lang w:bidi="hi-IN"/>
        </w:rPr>
        <w:t xml:space="preserve"> (2007). </w:t>
      </w:r>
      <w:r w:rsidRPr="00A81AAE">
        <w:rPr>
          <w:rFonts w:cs="Times New Roman"/>
          <w:bCs/>
          <w:i/>
          <w:sz w:val="23"/>
          <w:szCs w:val="23"/>
          <w:lang w:bidi="hi-IN"/>
        </w:rPr>
        <w:t xml:space="preserve">The Fiji Islands national curriculum framework: education </w:t>
      </w:r>
    </w:p>
    <w:p w:rsidR="00903B76" w:rsidRPr="00A81AAE" w:rsidRDefault="00903B76" w:rsidP="00903B76">
      <w:pPr>
        <w:autoSpaceDE w:val="0"/>
        <w:autoSpaceDN w:val="0"/>
        <w:adjustRightInd w:val="0"/>
        <w:spacing w:after="0" w:line="360" w:lineRule="auto"/>
        <w:ind w:firstLine="720"/>
        <w:rPr>
          <w:rFonts w:cs="Times New Roman"/>
          <w:bCs/>
          <w:sz w:val="23"/>
          <w:szCs w:val="23"/>
          <w:lang w:bidi="hi-IN"/>
        </w:rPr>
      </w:pPr>
      <w:proofErr w:type="gramStart"/>
      <w:r w:rsidRPr="00A81AAE">
        <w:rPr>
          <w:rFonts w:cs="Times New Roman"/>
          <w:bCs/>
          <w:i/>
          <w:sz w:val="23"/>
          <w:szCs w:val="23"/>
          <w:lang w:bidi="hi-IN"/>
        </w:rPr>
        <w:t>for</w:t>
      </w:r>
      <w:proofErr w:type="gramEnd"/>
      <w:r w:rsidRPr="00A81AAE">
        <w:rPr>
          <w:rFonts w:cs="Times New Roman"/>
          <w:bCs/>
          <w:i/>
          <w:sz w:val="23"/>
          <w:szCs w:val="23"/>
          <w:lang w:bidi="hi-IN"/>
        </w:rPr>
        <w:t xml:space="preserve"> a better future</w:t>
      </w:r>
      <w:r w:rsidRPr="00A81AAE">
        <w:rPr>
          <w:rFonts w:cs="Times New Roman"/>
          <w:bCs/>
          <w:sz w:val="23"/>
          <w:szCs w:val="23"/>
          <w:lang w:bidi="hi-IN"/>
        </w:rPr>
        <w:t>. Suva: Ministry of Education, 1-57.</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i/>
          <w:sz w:val="23"/>
          <w:szCs w:val="23"/>
          <w:lang w:bidi="hi-IN"/>
        </w:rPr>
      </w:pPr>
      <w:proofErr w:type="gramStart"/>
      <w:r w:rsidRPr="00A81AAE">
        <w:rPr>
          <w:rFonts w:cs="Times New Roman"/>
          <w:bCs/>
          <w:sz w:val="23"/>
          <w:szCs w:val="23"/>
          <w:lang w:bidi="hi-IN"/>
        </w:rPr>
        <w:t>Ministry of National Planning (2009).</w:t>
      </w:r>
      <w:proofErr w:type="gramEnd"/>
      <w:r w:rsidRPr="00A81AAE">
        <w:rPr>
          <w:rFonts w:cs="Times New Roman"/>
          <w:bCs/>
          <w:sz w:val="23"/>
          <w:szCs w:val="23"/>
          <w:lang w:bidi="hi-IN"/>
        </w:rPr>
        <w:t xml:space="preserve"> </w:t>
      </w:r>
      <w:r w:rsidRPr="00A81AAE">
        <w:rPr>
          <w:rFonts w:cs="Times New Roman"/>
          <w:bCs/>
          <w:i/>
          <w:sz w:val="23"/>
          <w:szCs w:val="23"/>
          <w:lang w:bidi="hi-IN"/>
        </w:rPr>
        <w:t>The roadmap for democracy and sustainable socio-</w:t>
      </w:r>
    </w:p>
    <w:p w:rsidR="00903B76" w:rsidRPr="00A81AAE" w:rsidRDefault="00903B76" w:rsidP="00903B76">
      <w:pPr>
        <w:autoSpaceDE w:val="0"/>
        <w:autoSpaceDN w:val="0"/>
        <w:adjustRightInd w:val="0"/>
        <w:spacing w:after="0" w:line="360" w:lineRule="auto"/>
        <w:ind w:firstLine="720"/>
        <w:rPr>
          <w:rFonts w:cs="Times New Roman"/>
          <w:bCs/>
          <w:sz w:val="23"/>
          <w:szCs w:val="23"/>
          <w:lang w:bidi="hi-IN"/>
        </w:rPr>
      </w:pPr>
      <w:proofErr w:type="gramStart"/>
      <w:r w:rsidRPr="00A81AAE">
        <w:rPr>
          <w:rFonts w:cs="Times New Roman"/>
          <w:bCs/>
          <w:i/>
          <w:sz w:val="23"/>
          <w:szCs w:val="23"/>
          <w:lang w:bidi="hi-IN"/>
        </w:rPr>
        <w:t>economic</w:t>
      </w:r>
      <w:proofErr w:type="gramEnd"/>
      <w:r w:rsidRPr="00A81AAE">
        <w:rPr>
          <w:rFonts w:cs="Times New Roman"/>
          <w:bCs/>
          <w:i/>
          <w:sz w:val="23"/>
          <w:szCs w:val="23"/>
          <w:lang w:bidi="hi-IN"/>
        </w:rPr>
        <w:t xml:space="preserve"> development 2010-2014 (RDSSED)</w:t>
      </w:r>
      <w:r w:rsidRPr="00A81AAE">
        <w:rPr>
          <w:rFonts w:cs="Times New Roman"/>
          <w:bCs/>
          <w:sz w:val="23"/>
          <w:szCs w:val="23"/>
          <w:lang w:bidi="hi-IN"/>
        </w:rPr>
        <w:t>. Suva: Ministry of Education.</w:t>
      </w:r>
    </w:p>
    <w:p w:rsidR="00903B76" w:rsidRPr="00A81AAE" w:rsidRDefault="00903B76" w:rsidP="00903B76">
      <w:pPr>
        <w:autoSpaceDE w:val="0"/>
        <w:autoSpaceDN w:val="0"/>
        <w:adjustRightInd w:val="0"/>
        <w:spacing w:after="0" w:line="360" w:lineRule="auto"/>
        <w:ind w:firstLine="720"/>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proofErr w:type="spellStart"/>
      <w:r w:rsidRPr="00A81AAE">
        <w:rPr>
          <w:rFonts w:cs="Times New Roman"/>
          <w:bCs/>
          <w:sz w:val="23"/>
          <w:szCs w:val="23"/>
          <w:lang w:bidi="hi-IN"/>
        </w:rPr>
        <w:t>Qovu</w:t>
      </w:r>
      <w:proofErr w:type="spellEnd"/>
      <w:r w:rsidRPr="00A81AAE">
        <w:rPr>
          <w:rFonts w:cs="Times New Roman"/>
          <w:bCs/>
          <w:sz w:val="23"/>
          <w:szCs w:val="23"/>
          <w:lang w:bidi="hi-IN"/>
        </w:rPr>
        <w:t xml:space="preserve">, E. V. (2013). A critical review of the affirmative action policy in education of the </w:t>
      </w:r>
    </w:p>
    <w:p w:rsidR="00903B76" w:rsidRPr="00A81AAE" w:rsidRDefault="00903B76" w:rsidP="00903B76">
      <w:pPr>
        <w:autoSpaceDE w:val="0"/>
        <w:autoSpaceDN w:val="0"/>
        <w:adjustRightInd w:val="0"/>
        <w:spacing w:after="0" w:line="360" w:lineRule="auto"/>
        <w:ind w:left="720"/>
        <w:rPr>
          <w:rFonts w:cs="Times New Roman"/>
          <w:bCs/>
          <w:sz w:val="23"/>
          <w:szCs w:val="23"/>
          <w:lang w:bidi="hi-IN"/>
        </w:rPr>
      </w:pPr>
      <w:proofErr w:type="gramStart"/>
      <w:r w:rsidRPr="00A81AAE">
        <w:rPr>
          <w:rFonts w:cs="Times New Roman"/>
          <w:bCs/>
          <w:sz w:val="23"/>
          <w:szCs w:val="23"/>
          <w:lang w:bidi="hi-IN"/>
        </w:rPr>
        <w:t>indigenous</w:t>
      </w:r>
      <w:proofErr w:type="gramEnd"/>
      <w:r w:rsidRPr="00A81AAE">
        <w:rPr>
          <w:rFonts w:cs="Times New Roman"/>
          <w:bCs/>
          <w:sz w:val="23"/>
          <w:szCs w:val="23"/>
          <w:lang w:bidi="hi-IN"/>
        </w:rPr>
        <w:t xml:space="preserve"> Fijians 1987 – 2006. University of the South Pacific, School of Education, PhD Thesis, 1-341.</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rPr>
      </w:pPr>
      <w:proofErr w:type="spellStart"/>
      <w:r w:rsidRPr="00A81AAE">
        <w:rPr>
          <w:rFonts w:cs="Times New Roman"/>
          <w:bCs/>
          <w:sz w:val="23"/>
          <w:szCs w:val="23"/>
          <w:lang w:bidi="hi-IN"/>
        </w:rPr>
        <w:t>Rahul</w:t>
      </w:r>
      <w:proofErr w:type="spellEnd"/>
      <w:r w:rsidRPr="00A81AAE">
        <w:rPr>
          <w:rFonts w:cs="Times New Roman"/>
          <w:bCs/>
          <w:sz w:val="23"/>
          <w:szCs w:val="23"/>
          <w:lang w:bidi="hi-IN"/>
        </w:rPr>
        <w:t xml:space="preserve">, A. (2014). </w:t>
      </w:r>
      <w:r w:rsidRPr="00A81AAE">
        <w:rPr>
          <w:rFonts w:cs="Times New Roman"/>
          <w:bCs/>
          <w:sz w:val="23"/>
          <w:szCs w:val="23"/>
        </w:rPr>
        <w:t xml:space="preserve">A study on status of teaching of Hindi in secondary schools of </w:t>
      </w:r>
      <w:proofErr w:type="spellStart"/>
      <w:r w:rsidRPr="00A81AAE">
        <w:rPr>
          <w:rFonts w:cs="Times New Roman"/>
          <w:bCs/>
          <w:sz w:val="23"/>
          <w:szCs w:val="23"/>
        </w:rPr>
        <w:t>Vadodara</w:t>
      </w:r>
      <w:proofErr w:type="spellEnd"/>
      <w:r w:rsidRPr="00A81AAE">
        <w:rPr>
          <w:rFonts w:cs="Times New Roman"/>
          <w:bCs/>
          <w:sz w:val="23"/>
          <w:szCs w:val="23"/>
        </w:rPr>
        <w:t xml:space="preserve"> </w:t>
      </w:r>
    </w:p>
    <w:p w:rsidR="00903B76" w:rsidRPr="00A81AAE" w:rsidRDefault="00903B76" w:rsidP="00903B76">
      <w:pPr>
        <w:autoSpaceDE w:val="0"/>
        <w:autoSpaceDN w:val="0"/>
        <w:adjustRightInd w:val="0"/>
        <w:spacing w:after="0" w:line="360" w:lineRule="auto"/>
        <w:ind w:firstLine="720"/>
        <w:rPr>
          <w:rFonts w:cs="Times New Roman"/>
          <w:bCs/>
          <w:sz w:val="23"/>
          <w:szCs w:val="23"/>
        </w:rPr>
      </w:pPr>
      <w:proofErr w:type="gramStart"/>
      <w:r w:rsidRPr="00A81AAE">
        <w:rPr>
          <w:rFonts w:cs="Times New Roman"/>
          <w:bCs/>
          <w:sz w:val="23"/>
          <w:szCs w:val="23"/>
        </w:rPr>
        <w:t>city</w:t>
      </w:r>
      <w:proofErr w:type="gramEnd"/>
      <w:r w:rsidRPr="00A81AAE">
        <w:rPr>
          <w:rFonts w:cs="Times New Roman"/>
          <w:bCs/>
          <w:sz w:val="23"/>
          <w:szCs w:val="23"/>
        </w:rPr>
        <w:t xml:space="preserve">. </w:t>
      </w:r>
      <w:proofErr w:type="gramStart"/>
      <w:r w:rsidRPr="00A81AAE">
        <w:rPr>
          <w:rFonts w:cs="Times New Roman"/>
          <w:bCs/>
          <w:i/>
          <w:sz w:val="23"/>
          <w:szCs w:val="23"/>
        </w:rPr>
        <w:t>Indian e-Journal on Teacher Education</w:t>
      </w:r>
      <w:r w:rsidRPr="00A81AAE">
        <w:rPr>
          <w:rFonts w:cs="Times New Roman"/>
          <w:bCs/>
          <w:sz w:val="23"/>
          <w:szCs w:val="23"/>
        </w:rPr>
        <w:t>.</w:t>
      </w:r>
      <w:proofErr w:type="gramEnd"/>
      <w:r w:rsidRPr="00A81AAE">
        <w:rPr>
          <w:rFonts w:cs="Times New Roman"/>
          <w:bCs/>
          <w:sz w:val="23"/>
          <w:szCs w:val="23"/>
        </w:rPr>
        <w:t xml:space="preserve"> 1</w:t>
      </w:r>
      <w:r w:rsidRPr="00A81AAE">
        <w:rPr>
          <w:rFonts w:cs="Times New Roman"/>
          <w:bCs/>
          <w:sz w:val="23"/>
          <w:szCs w:val="23"/>
          <w:lang w:bidi="hi-IN"/>
        </w:rPr>
        <w:t xml:space="preserve"> (2), 76-85.</w:t>
      </w:r>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r w:rsidRPr="00A81AAE">
        <w:rPr>
          <w:rFonts w:cs="Times New Roman"/>
          <w:bCs/>
          <w:sz w:val="23"/>
          <w:szCs w:val="23"/>
          <w:lang w:bidi="hi-IN"/>
        </w:rPr>
        <w:lastRenderedPageBreak/>
        <w:t xml:space="preserve">Roberts, S. (2007). </w:t>
      </w:r>
      <w:proofErr w:type="gramStart"/>
      <w:r w:rsidRPr="00A81AAE">
        <w:rPr>
          <w:rFonts w:cs="Times New Roman"/>
          <w:bCs/>
          <w:sz w:val="23"/>
          <w:szCs w:val="23"/>
          <w:lang w:bidi="hi-IN"/>
        </w:rPr>
        <w:t>A critical analysis of the current status of the Fijian language.</w:t>
      </w:r>
      <w:proofErr w:type="gramEnd"/>
      <w:r w:rsidRPr="00A81AAE">
        <w:rPr>
          <w:rFonts w:cs="Times New Roman"/>
          <w:bCs/>
          <w:sz w:val="23"/>
          <w:szCs w:val="23"/>
          <w:lang w:bidi="hi-IN"/>
        </w:rPr>
        <w:t xml:space="preserve"> </w:t>
      </w:r>
    </w:p>
    <w:p w:rsidR="00903B76" w:rsidRPr="00A81AAE" w:rsidRDefault="00903B76" w:rsidP="00903B76">
      <w:pPr>
        <w:autoSpaceDE w:val="0"/>
        <w:autoSpaceDN w:val="0"/>
        <w:adjustRightInd w:val="0"/>
        <w:spacing w:after="0" w:line="360" w:lineRule="auto"/>
        <w:ind w:left="720"/>
        <w:rPr>
          <w:rFonts w:cs="Times New Roman"/>
          <w:bCs/>
          <w:sz w:val="23"/>
          <w:szCs w:val="23"/>
          <w:lang w:bidi="hi-IN"/>
        </w:rPr>
      </w:pPr>
      <w:proofErr w:type="gramStart"/>
      <w:r w:rsidRPr="00A81AAE">
        <w:rPr>
          <w:rFonts w:cs="Times New Roman"/>
          <w:bCs/>
          <w:i/>
          <w:sz w:val="23"/>
          <w:szCs w:val="23"/>
          <w:lang w:bidi="hi-IN"/>
        </w:rPr>
        <w:t>Independent Study Project (ISP) Collection</w:t>
      </w:r>
      <w:r w:rsidRPr="00A81AAE">
        <w:rPr>
          <w:rFonts w:cs="Times New Roman"/>
          <w:bCs/>
          <w:sz w:val="23"/>
          <w:szCs w:val="23"/>
          <w:lang w:bidi="hi-IN"/>
        </w:rPr>
        <w:t>.</w:t>
      </w:r>
      <w:proofErr w:type="gramEnd"/>
      <w:r w:rsidRPr="00A81AAE">
        <w:rPr>
          <w:rFonts w:cs="Times New Roman"/>
          <w:bCs/>
          <w:sz w:val="23"/>
          <w:szCs w:val="23"/>
          <w:lang w:bidi="hi-IN"/>
        </w:rPr>
        <w:t xml:space="preserve"> </w:t>
      </w:r>
      <w:proofErr w:type="gramStart"/>
      <w:r w:rsidRPr="00A81AAE">
        <w:rPr>
          <w:rFonts w:cs="Times New Roman"/>
          <w:bCs/>
          <w:sz w:val="23"/>
          <w:szCs w:val="23"/>
          <w:lang w:bidi="hi-IN"/>
        </w:rPr>
        <w:t>Paper 216.</w:t>
      </w:r>
      <w:proofErr w:type="gramEnd"/>
      <w:r w:rsidRPr="00A81AAE">
        <w:rPr>
          <w:rFonts w:cs="Times New Roman"/>
          <w:bCs/>
          <w:sz w:val="23"/>
          <w:szCs w:val="23"/>
          <w:lang w:bidi="hi-IN"/>
        </w:rPr>
        <w:t xml:space="preserve"> Retrieved September 2, 2014, from </w:t>
      </w:r>
      <w:hyperlink r:id="rId10" w:history="1">
        <w:r w:rsidRPr="00A81AAE">
          <w:rPr>
            <w:rStyle w:val="Hyperlink"/>
            <w:rFonts w:cs="Times New Roman"/>
            <w:bCs/>
            <w:sz w:val="23"/>
            <w:szCs w:val="23"/>
            <w:lang w:bidi="hi-IN"/>
          </w:rPr>
          <w:t>http://digitalcollections.sit.edu/isp_collection/216</w:t>
        </w:r>
      </w:hyperlink>
    </w:p>
    <w:p w:rsidR="00903B76" w:rsidRPr="00A81AAE" w:rsidRDefault="00903B76" w:rsidP="00903B76">
      <w:pPr>
        <w:autoSpaceDE w:val="0"/>
        <w:autoSpaceDN w:val="0"/>
        <w:adjustRightInd w:val="0"/>
        <w:spacing w:after="0" w:line="360" w:lineRule="auto"/>
        <w:rPr>
          <w:rFonts w:cs="Times New Roman"/>
          <w:bCs/>
          <w:sz w:val="23"/>
          <w:szCs w:val="23"/>
          <w:lang w:bidi="hi-IN"/>
        </w:rPr>
      </w:pPr>
    </w:p>
    <w:p w:rsidR="00903B76" w:rsidRPr="00A81AAE" w:rsidRDefault="00903B76" w:rsidP="00903B76">
      <w:pPr>
        <w:autoSpaceDE w:val="0"/>
        <w:autoSpaceDN w:val="0"/>
        <w:adjustRightInd w:val="0"/>
        <w:spacing w:after="0" w:line="360" w:lineRule="auto"/>
        <w:rPr>
          <w:rFonts w:cs="Times New Roman"/>
          <w:bCs/>
          <w:sz w:val="23"/>
          <w:szCs w:val="23"/>
          <w:lang w:bidi="hi-IN"/>
        </w:rPr>
      </w:pPr>
      <w:proofErr w:type="spellStart"/>
      <w:proofErr w:type="gramStart"/>
      <w:r w:rsidRPr="00A81AAE">
        <w:rPr>
          <w:rFonts w:cs="Times New Roman"/>
          <w:bCs/>
          <w:sz w:val="23"/>
          <w:szCs w:val="23"/>
          <w:lang w:bidi="hi-IN"/>
        </w:rPr>
        <w:t>Sanadhya</w:t>
      </w:r>
      <w:proofErr w:type="spellEnd"/>
      <w:r w:rsidRPr="00A81AAE">
        <w:rPr>
          <w:rFonts w:cs="Times New Roman"/>
          <w:bCs/>
          <w:sz w:val="23"/>
          <w:szCs w:val="23"/>
          <w:lang w:bidi="hi-IN"/>
        </w:rPr>
        <w:t>, T. (1914).</w:t>
      </w:r>
      <w:proofErr w:type="gramEnd"/>
      <w:r w:rsidRPr="00A81AAE">
        <w:rPr>
          <w:rFonts w:cs="Times New Roman"/>
          <w:bCs/>
          <w:sz w:val="23"/>
          <w:szCs w:val="23"/>
          <w:lang w:bidi="hi-IN"/>
        </w:rPr>
        <w:t xml:space="preserve"> </w:t>
      </w:r>
      <w:proofErr w:type="gramStart"/>
      <w:r w:rsidRPr="00A81AAE">
        <w:rPr>
          <w:rFonts w:cs="Times New Roman"/>
          <w:bCs/>
          <w:i/>
          <w:sz w:val="23"/>
          <w:szCs w:val="23"/>
          <w:lang w:bidi="hi-IN"/>
        </w:rPr>
        <w:t xml:space="preserve">Fiji </w:t>
      </w:r>
      <w:proofErr w:type="spellStart"/>
      <w:r w:rsidRPr="00A81AAE">
        <w:rPr>
          <w:rFonts w:cs="Times New Roman"/>
          <w:bCs/>
          <w:i/>
          <w:sz w:val="23"/>
          <w:szCs w:val="23"/>
          <w:lang w:bidi="hi-IN"/>
        </w:rPr>
        <w:t>dweep</w:t>
      </w:r>
      <w:proofErr w:type="spellEnd"/>
      <w:r w:rsidRPr="00A81AAE">
        <w:rPr>
          <w:rFonts w:cs="Times New Roman"/>
          <w:bCs/>
          <w:i/>
          <w:sz w:val="23"/>
          <w:szCs w:val="23"/>
          <w:lang w:bidi="hi-IN"/>
        </w:rPr>
        <w:t xml:space="preserve"> </w:t>
      </w:r>
      <w:proofErr w:type="spellStart"/>
      <w:r w:rsidRPr="00A81AAE">
        <w:rPr>
          <w:rFonts w:cs="Times New Roman"/>
          <w:bCs/>
          <w:i/>
          <w:sz w:val="23"/>
          <w:szCs w:val="23"/>
          <w:lang w:bidi="hi-IN"/>
        </w:rPr>
        <w:t>mein</w:t>
      </w:r>
      <w:proofErr w:type="spellEnd"/>
      <w:r w:rsidRPr="00A81AAE">
        <w:rPr>
          <w:rFonts w:cs="Times New Roman"/>
          <w:bCs/>
          <w:i/>
          <w:sz w:val="23"/>
          <w:szCs w:val="23"/>
          <w:lang w:bidi="hi-IN"/>
        </w:rPr>
        <w:t xml:space="preserve"> mere </w:t>
      </w:r>
      <w:proofErr w:type="spellStart"/>
      <w:r w:rsidRPr="00A81AAE">
        <w:rPr>
          <w:rFonts w:cs="Times New Roman"/>
          <w:bCs/>
          <w:i/>
          <w:sz w:val="23"/>
          <w:szCs w:val="23"/>
          <w:lang w:bidi="hi-IN"/>
        </w:rPr>
        <w:t>ikkees</w:t>
      </w:r>
      <w:proofErr w:type="spellEnd"/>
      <w:r w:rsidRPr="00A81AAE">
        <w:rPr>
          <w:rFonts w:cs="Times New Roman"/>
          <w:bCs/>
          <w:i/>
          <w:sz w:val="23"/>
          <w:szCs w:val="23"/>
          <w:lang w:bidi="hi-IN"/>
        </w:rPr>
        <w:t xml:space="preserve"> </w:t>
      </w:r>
      <w:proofErr w:type="spellStart"/>
      <w:r w:rsidRPr="00A81AAE">
        <w:rPr>
          <w:rFonts w:cs="Times New Roman"/>
          <w:bCs/>
          <w:i/>
          <w:sz w:val="23"/>
          <w:szCs w:val="23"/>
          <w:lang w:bidi="hi-IN"/>
        </w:rPr>
        <w:t>varsha</w:t>
      </w:r>
      <w:proofErr w:type="spellEnd"/>
      <w:r w:rsidRPr="00A81AAE">
        <w:rPr>
          <w:rFonts w:cs="Times New Roman"/>
          <w:bCs/>
          <w:sz w:val="23"/>
          <w:szCs w:val="23"/>
          <w:lang w:bidi="hi-IN"/>
        </w:rPr>
        <w:t>.</w:t>
      </w:r>
      <w:proofErr w:type="gramEnd"/>
      <w:r w:rsidRPr="00A81AAE">
        <w:rPr>
          <w:rFonts w:cs="Times New Roman"/>
          <w:bCs/>
          <w:sz w:val="23"/>
          <w:szCs w:val="23"/>
          <w:lang w:bidi="hi-IN"/>
        </w:rPr>
        <w:t xml:space="preserve"> Firozabad: </w:t>
      </w:r>
      <w:proofErr w:type="spellStart"/>
      <w:r w:rsidRPr="00A81AAE">
        <w:rPr>
          <w:rFonts w:cs="Times New Roman"/>
          <w:bCs/>
          <w:sz w:val="23"/>
          <w:szCs w:val="23"/>
          <w:lang w:bidi="hi-IN"/>
        </w:rPr>
        <w:t>Bharati</w:t>
      </w:r>
      <w:proofErr w:type="spellEnd"/>
      <w:r w:rsidRPr="00A81AAE">
        <w:rPr>
          <w:rFonts w:cs="Times New Roman"/>
          <w:bCs/>
          <w:sz w:val="23"/>
          <w:szCs w:val="23"/>
          <w:lang w:bidi="hi-IN"/>
        </w:rPr>
        <w:t xml:space="preserve"> </w:t>
      </w:r>
      <w:proofErr w:type="spellStart"/>
      <w:r w:rsidRPr="00A81AAE">
        <w:rPr>
          <w:rFonts w:cs="Times New Roman"/>
          <w:bCs/>
          <w:sz w:val="23"/>
          <w:szCs w:val="23"/>
          <w:lang w:bidi="hi-IN"/>
        </w:rPr>
        <w:t>Bhavan</w:t>
      </w:r>
      <w:proofErr w:type="spellEnd"/>
      <w:r w:rsidRPr="00A81AAE">
        <w:rPr>
          <w:rFonts w:cs="Times New Roman"/>
          <w:bCs/>
          <w:sz w:val="23"/>
          <w:szCs w:val="23"/>
          <w:lang w:bidi="hi-IN"/>
        </w:rPr>
        <w:t>.</w:t>
      </w:r>
    </w:p>
    <w:p w:rsidR="00903B76" w:rsidRPr="00A81AAE" w:rsidRDefault="00903B76" w:rsidP="00903B76">
      <w:pPr>
        <w:autoSpaceDE w:val="0"/>
        <w:autoSpaceDN w:val="0"/>
        <w:adjustRightInd w:val="0"/>
        <w:spacing w:after="0" w:line="360" w:lineRule="auto"/>
        <w:rPr>
          <w:rFonts w:cs="Times New Roman"/>
          <w:bCs/>
          <w:i/>
          <w:sz w:val="23"/>
          <w:szCs w:val="23"/>
          <w:lang w:bidi="hi-IN"/>
        </w:rPr>
      </w:pPr>
      <w:r w:rsidRPr="00A81AAE">
        <w:rPr>
          <w:rFonts w:cs="Times New Roman"/>
          <w:bCs/>
          <w:sz w:val="23"/>
          <w:szCs w:val="23"/>
          <w:lang w:bidi="hi-IN"/>
        </w:rPr>
        <w:t xml:space="preserve"> </w:t>
      </w:r>
    </w:p>
    <w:p w:rsidR="00903B76" w:rsidRPr="00A81AAE" w:rsidRDefault="00903B76" w:rsidP="00903B76">
      <w:pPr>
        <w:autoSpaceDE w:val="0"/>
        <w:autoSpaceDN w:val="0"/>
        <w:adjustRightInd w:val="0"/>
        <w:spacing w:after="0" w:line="360" w:lineRule="auto"/>
        <w:rPr>
          <w:rStyle w:val="HTMLCite"/>
          <w:rFonts w:cs="Times New Roman"/>
          <w:i w:val="0"/>
          <w:sz w:val="23"/>
          <w:szCs w:val="23"/>
        </w:rPr>
      </w:pPr>
      <w:r w:rsidRPr="00A81AAE">
        <w:rPr>
          <w:rStyle w:val="HTMLCite"/>
          <w:rFonts w:cs="Times New Roman"/>
          <w:sz w:val="23"/>
          <w:szCs w:val="23"/>
        </w:rPr>
        <w:t xml:space="preserve">Sharma, K. (2010). </w:t>
      </w:r>
      <w:proofErr w:type="spellStart"/>
      <w:r w:rsidRPr="00A81AAE">
        <w:rPr>
          <w:rStyle w:val="HTMLCite"/>
          <w:rFonts w:cs="Times New Roman"/>
          <w:sz w:val="23"/>
          <w:szCs w:val="23"/>
        </w:rPr>
        <w:t>Gulaami</w:t>
      </w:r>
      <w:proofErr w:type="spellEnd"/>
      <w:r w:rsidRPr="00A81AAE">
        <w:rPr>
          <w:rStyle w:val="HTMLCite"/>
          <w:rFonts w:cs="Times New Roman"/>
          <w:sz w:val="23"/>
          <w:szCs w:val="23"/>
        </w:rPr>
        <w:t>: Slavery in Fiji. Canberra: KPS Publications.</w:t>
      </w:r>
    </w:p>
    <w:p w:rsidR="00903B76" w:rsidRPr="00A81AAE" w:rsidRDefault="00903B76" w:rsidP="00903B76">
      <w:pPr>
        <w:autoSpaceDE w:val="0"/>
        <w:autoSpaceDN w:val="0"/>
        <w:adjustRightInd w:val="0"/>
        <w:spacing w:after="0" w:line="360" w:lineRule="auto"/>
        <w:rPr>
          <w:rStyle w:val="HTMLCite"/>
          <w:rFonts w:cs="Times New Roman"/>
          <w:i w:val="0"/>
          <w:sz w:val="23"/>
          <w:szCs w:val="23"/>
        </w:rPr>
      </w:pPr>
    </w:p>
    <w:p w:rsidR="000510A9" w:rsidRPr="00A81AAE" w:rsidRDefault="00903B76" w:rsidP="00903B76">
      <w:pPr>
        <w:autoSpaceDE w:val="0"/>
        <w:autoSpaceDN w:val="0"/>
        <w:adjustRightInd w:val="0"/>
        <w:spacing w:after="0" w:line="360" w:lineRule="auto"/>
        <w:rPr>
          <w:rFonts w:cs="Times New Roman"/>
          <w:b/>
          <w:sz w:val="23"/>
          <w:szCs w:val="23"/>
        </w:rPr>
      </w:pPr>
      <w:proofErr w:type="spellStart"/>
      <w:r w:rsidRPr="00A81AAE">
        <w:rPr>
          <w:rStyle w:val="HTMLCite"/>
          <w:rFonts w:cs="Times New Roman"/>
          <w:sz w:val="23"/>
          <w:szCs w:val="23"/>
        </w:rPr>
        <w:t>Vedalan</w:t>
      </w:r>
      <w:bookmarkStart w:id="14" w:name="_GoBack"/>
      <w:bookmarkEnd w:id="14"/>
      <w:r w:rsidRPr="00A81AAE">
        <w:rPr>
          <w:rStyle w:val="HTMLCite"/>
          <w:rFonts w:cs="Times New Roman"/>
          <w:sz w:val="23"/>
          <w:szCs w:val="23"/>
        </w:rPr>
        <w:t>kar</w:t>
      </w:r>
      <w:proofErr w:type="spellEnd"/>
      <w:r w:rsidRPr="00A81AAE">
        <w:rPr>
          <w:rStyle w:val="HTMLCite"/>
          <w:rFonts w:cs="Times New Roman"/>
          <w:sz w:val="23"/>
          <w:szCs w:val="23"/>
        </w:rPr>
        <w:t xml:space="preserve">, N. </w:t>
      </w:r>
      <w:proofErr w:type="gramStart"/>
      <w:r w:rsidRPr="00A81AAE">
        <w:rPr>
          <w:rStyle w:val="HTMLCite"/>
          <w:rFonts w:cs="Times New Roman"/>
          <w:sz w:val="23"/>
          <w:szCs w:val="23"/>
        </w:rPr>
        <w:t xml:space="preserve">and  </w:t>
      </w:r>
      <w:proofErr w:type="spellStart"/>
      <w:r w:rsidRPr="00A81AAE">
        <w:rPr>
          <w:rStyle w:val="HTMLCite"/>
          <w:rFonts w:cs="Times New Roman"/>
          <w:sz w:val="23"/>
          <w:szCs w:val="23"/>
        </w:rPr>
        <w:t>Somera</w:t>
      </w:r>
      <w:proofErr w:type="spellEnd"/>
      <w:proofErr w:type="gramEnd"/>
      <w:r w:rsidRPr="00A81AAE">
        <w:rPr>
          <w:rStyle w:val="HTMLCite"/>
          <w:rFonts w:cs="Times New Roman"/>
          <w:sz w:val="23"/>
          <w:szCs w:val="23"/>
        </w:rPr>
        <w:t xml:space="preserve">, M. (1975). </w:t>
      </w:r>
      <w:proofErr w:type="gramStart"/>
      <w:r w:rsidRPr="00A81AAE">
        <w:rPr>
          <w:rStyle w:val="HTMLCite"/>
          <w:rFonts w:cs="Times New Roman"/>
          <w:sz w:val="23"/>
          <w:szCs w:val="23"/>
        </w:rPr>
        <w:t xml:space="preserve">Arya </w:t>
      </w:r>
      <w:proofErr w:type="spellStart"/>
      <w:r w:rsidRPr="00A81AAE">
        <w:rPr>
          <w:rStyle w:val="HTMLCite"/>
          <w:rFonts w:cs="Times New Roman"/>
          <w:sz w:val="23"/>
          <w:szCs w:val="23"/>
        </w:rPr>
        <w:t>Samaj</w:t>
      </w:r>
      <w:proofErr w:type="spellEnd"/>
      <w:r w:rsidRPr="00A81AAE">
        <w:rPr>
          <w:rStyle w:val="HTMLCite"/>
          <w:rFonts w:cs="Times New Roman"/>
          <w:sz w:val="23"/>
          <w:szCs w:val="23"/>
        </w:rPr>
        <w:t xml:space="preserve"> and Indians abroad.</w:t>
      </w:r>
      <w:proofErr w:type="gramEnd"/>
      <w:r w:rsidRPr="00A81AAE">
        <w:rPr>
          <w:rStyle w:val="HTMLCite"/>
          <w:rFonts w:cs="Times New Roman"/>
          <w:sz w:val="23"/>
          <w:szCs w:val="23"/>
        </w:rPr>
        <w:t xml:space="preserve"> New Delhi, India.</w:t>
      </w:r>
    </w:p>
    <w:sectPr w:rsidR="000510A9" w:rsidRPr="00A81AAE" w:rsidSect="000510A9">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09D" w:rsidRDefault="00CC509D" w:rsidP="004719C0">
      <w:pPr>
        <w:spacing w:after="0" w:line="240" w:lineRule="auto"/>
      </w:pPr>
      <w:r>
        <w:separator/>
      </w:r>
    </w:p>
  </w:endnote>
  <w:endnote w:type="continuationSeparator" w:id="0">
    <w:p w:rsidR="00CC509D" w:rsidRDefault="00CC509D" w:rsidP="004719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00798"/>
      <w:docPartObj>
        <w:docPartGallery w:val="Page Numbers (Bottom of Page)"/>
        <w:docPartUnique/>
      </w:docPartObj>
    </w:sdtPr>
    <w:sdtContent>
      <w:p w:rsidR="000522A4" w:rsidRDefault="00637A9D">
        <w:pPr>
          <w:pStyle w:val="Footer"/>
          <w:jc w:val="right"/>
        </w:pPr>
        <w:fldSimple w:instr=" PAGE   \* MERGEFORMAT ">
          <w:r w:rsidR="005C55DE">
            <w:rPr>
              <w:noProof/>
            </w:rPr>
            <w:t>10</w:t>
          </w:r>
        </w:fldSimple>
      </w:p>
    </w:sdtContent>
  </w:sdt>
  <w:p w:rsidR="000522A4" w:rsidRDefault="000522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09D" w:rsidRDefault="00CC509D" w:rsidP="004719C0">
      <w:pPr>
        <w:spacing w:after="0" w:line="240" w:lineRule="auto"/>
      </w:pPr>
      <w:r>
        <w:separator/>
      </w:r>
    </w:p>
  </w:footnote>
  <w:footnote w:type="continuationSeparator" w:id="0">
    <w:p w:rsidR="00CC509D" w:rsidRDefault="00CC509D" w:rsidP="004719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F45"/>
    <w:multiLevelType w:val="hybridMultilevel"/>
    <w:tmpl w:val="D01680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483713"/>
    <w:multiLevelType w:val="hybridMultilevel"/>
    <w:tmpl w:val="94FE75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2FC2E31"/>
    <w:multiLevelType w:val="hybridMultilevel"/>
    <w:tmpl w:val="8398D8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21D05EA"/>
    <w:multiLevelType w:val="hybridMultilevel"/>
    <w:tmpl w:val="0C72B22E"/>
    <w:lvl w:ilvl="0" w:tplc="0C090013">
      <w:start w:val="1"/>
      <w:numFmt w:val="upp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4C1B5DFA"/>
    <w:multiLevelType w:val="hybridMultilevel"/>
    <w:tmpl w:val="1BBC848E"/>
    <w:lvl w:ilvl="0" w:tplc="0C090013">
      <w:start w:val="1"/>
      <w:numFmt w:val="upp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5A564BCD"/>
    <w:multiLevelType w:val="hybridMultilevel"/>
    <w:tmpl w:val="79F4E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6D528E6"/>
    <w:multiLevelType w:val="hybridMultilevel"/>
    <w:tmpl w:val="7AC081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719C0"/>
    <w:rsid w:val="000008A4"/>
    <w:rsid w:val="0001257C"/>
    <w:rsid w:val="00017A89"/>
    <w:rsid w:val="00024466"/>
    <w:rsid w:val="000422DD"/>
    <w:rsid w:val="000462BC"/>
    <w:rsid w:val="00050A1C"/>
    <w:rsid w:val="000510A9"/>
    <w:rsid w:val="000522A4"/>
    <w:rsid w:val="000578CD"/>
    <w:rsid w:val="00082BCA"/>
    <w:rsid w:val="000A1C16"/>
    <w:rsid w:val="000B0B17"/>
    <w:rsid w:val="000F0615"/>
    <w:rsid w:val="001014F9"/>
    <w:rsid w:val="0010376F"/>
    <w:rsid w:val="00113752"/>
    <w:rsid w:val="001143FC"/>
    <w:rsid w:val="00124C88"/>
    <w:rsid w:val="00132A7E"/>
    <w:rsid w:val="001564C4"/>
    <w:rsid w:val="001572DE"/>
    <w:rsid w:val="00186AF5"/>
    <w:rsid w:val="0019582F"/>
    <w:rsid w:val="001C06A9"/>
    <w:rsid w:val="001C7A18"/>
    <w:rsid w:val="001E611F"/>
    <w:rsid w:val="001F0A23"/>
    <w:rsid w:val="001F1DDC"/>
    <w:rsid w:val="001F66E3"/>
    <w:rsid w:val="00200536"/>
    <w:rsid w:val="00222006"/>
    <w:rsid w:val="00227D6B"/>
    <w:rsid w:val="00233DB3"/>
    <w:rsid w:val="00241FE2"/>
    <w:rsid w:val="00243D7B"/>
    <w:rsid w:val="0025370E"/>
    <w:rsid w:val="00274E33"/>
    <w:rsid w:val="0028230D"/>
    <w:rsid w:val="0028485D"/>
    <w:rsid w:val="002B02EE"/>
    <w:rsid w:val="002B1F03"/>
    <w:rsid w:val="002C3C37"/>
    <w:rsid w:val="002E0760"/>
    <w:rsid w:val="002F2076"/>
    <w:rsid w:val="002F2A28"/>
    <w:rsid w:val="00306559"/>
    <w:rsid w:val="003143DD"/>
    <w:rsid w:val="0031744A"/>
    <w:rsid w:val="00371048"/>
    <w:rsid w:val="0038213D"/>
    <w:rsid w:val="003A33EF"/>
    <w:rsid w:val="003C3CE0"/>
    <w:rsid w:val="003F0A8E"/>
    <w:rsid w:val="00406DA7"/>
    <w:rsid w:val="00407FED"/>
    <w:rsid w:val="00431232"/>
    <w:rsid w:val="00445761"/>
    <w:rsid w:val="004679F1"/>
    <w:rsid w:val="004719C0"/>
    <w:rsid w:val="00476DC6"/>
    <w:rsid w:val="00492FF1"/>
    <w:rsid w:val="004A60BE"/>
    <w:rsid w:val="004B0F9A"/>
    <w:rsid w:val="004B3C9A"/>
    <w:rsid w:val="004C1E8A"/>
    <w:rsid w:val="004C45C9"/>
    <w:rsid w:val="004C5682"/>
    <w:rsid w:val="004F15E7"/>
    <w:rsid w:val="004F1866"/>
    <w:rsid w:val="00501E46"/>
    <w:rsid w:val="00512AB6"/>
    <w:rsid w:val="0052366B"/>
    <w:rsid w:val="00523D8F"/>
    <w:rsid w:val="005301EC"/>
    <w:rsid w:val="00555514"/>
    <w:rsid w:val="00561DCD"/>
    <w:rsid w:val="00563FB1"/>
    <w:rsid w:val="005A369C"/>
    <w:rsid w:val="005C55DE"/>
    <w:rsid w:val="005D6AA8"/>
    <w:rsid w:val="005E1EF5"/>
    <w:rsid w:val="005F235A"/>
    <w:rsid w:val="0060392D"/>
    <w:rsid w:val="006207AF"/>
    <w:rsid w:val="00621091"/>
    <w:rsid w:val="00637A9D"/>
    <w:rsid w:val="00647533"/>
    <w:rsid w:val="00656E4F"/>
    <w:rsid w:val="006665BE"/>
    <w:rsid w:val="00682B10"/>
    <w:rsid w:val="006A494A"/>
    <w:rsid w:val="006B75F1"/>
    <w:rsid w:val="006C24D0"/>
    <w:rsid w:val="006E5A13"/>
    <w:rsid w:val="007030D2"/>
    <w:rsid w:val="00720B28"/>
    <w:rsid w:val="00731525"/>
    <w:rsid w:val="00742382"/>
    <w:rsid w:val="007601C1"/>
    <w:rsid w:val="00773386"/>
    <w:rsid w:val="00777F92"/>
    <w:rsid w:val="007A39D6"/>
    <w:rsid w:val="007B4C5C"/>
    <w:rsid w:val="007F53F2"/>
    <w:rsid w:val="00800B47"/>
    <w:rsid w:val="0080294D"/>
    <w:rsid w:val="00802C30"/>
    <w:rsid w:val="00807B6C"/>
    <w:rsid w:val="008101DC"/>
    <w:rsid w:val="008421F9"/>
    <w:rsid w:val="00887C1F"/>
    <w:rsid w:val="00892E45"/>
    <w:rsid w:val="008C5340"/>
    <w:rsid w:val="008D3CB0"/>
    <w:rsid w:val="008E1D4F"/>
    <w:rsid w:val="008E49C3"/>
    <w:rsid w:val="0090209C"/>
    <w:rsid w:val="00903B76"/>
    <w:rsid w:val="009053DF"/>
    <w:rsid w:val="00906471"/>
    <w:rsid w:val="00934FF9"/>
    <w:rsid w:val="00936760"/>
    <w:rsid w:val="009A5601"/>
    <w:rsid w:val="009D589E"/>
    <w:rsid w:val="009F4CEC"/>
    <w:rsid w:val="00A030DD"/>
    <w:rsid w:val="00A12415"/>
    <w:rsid w:val="00A15940"/>
    <w:rsid w:val="00A238E1"/>
    <w:rsid w:val="00A2394E"/>
    <w:rsid w:val="00A248A2"/>
    <w:rsid w:val="00A30821"/>
    <w:rsid w:val="00A35495"/>
    <w:rsid w:val="00A60457"/>
    <w:rsid w:val="00A81AAE"/>
    <w:rsid w:val="00AA1A19"/>
    <w:rsid w:val="00AC5EDC"/>
    <w:rsid w:val="00AE27EB"/>
    <w:rsid w:val="00AF4138"/>
    <w:rsid w:val="00AF71CD"/>
    <w:rsid w:val="00AF76FB"/>
    <w:rsid w:val="00B34F65"/>
    <w:rsid w:val="00B44EE0"/>
    <w:rsid w:val="00B5729B"/>
    <w:rsid w:val="00B642FD"/>
    <w:rsid w:val="00B95924"/>
    <w:rsid w:val="00BA6853"/>
    <w:rsid w:val="00BB5116"/>
    <w:rsid w:val="00BC0E71"/>
    <w:rsid w:val="00BF3D4F"/>
    <w:rsid w:val="00BF491B"/>
    <w:rsid w:val="00C14B54"/>
    <w:rsid w:val="00C2326B"/>
    <w:rsid w:val="00C31681"/>
    <w:rsid w:val="00C50DB4"/>
    <w:rsid w:val="00C67878"/>
    <w:rsid w:val="00C77A3A"/>
    <w:rsid w:val="00C84FBC"/>
    <w:rsid w:val="00C855E9"/>
    <w:rsid w:val="00C86B41"/>
    <w:rsid w:val="00CB0761"/>
    <w:rsid w:val="00CB3F31"/>
    <w:rsid w:val="00CC509D"/>
    <w:rsid w:val="00CE084A"/>
    <w:rsid w:val="00D13364"/>
    <w:rsid w:val="00D142A7"/>
    <w:rsid w:val="00D31134"/>
    <w:rsid w:val="00D42FE1"/>
    <w:rsid w:val="00D51B93"/>
    <w:rsid w:val="00D72CC6"/>
    <w:rsid w:val="00D91CEC"/>
    <w:rsid w:val="00DA5568"/>
    <w:rsid w:val="00DC3A94"/>
    <w:rsid w:val="00DF38C7"/>
    <w:rsid w:val="00E01493"/>
    <w:rsid w:val="00E21FBF"/>
    <w:rsid w:val="00E24F56"/>
    <w:rsid w:val="00E40294"/>
    <w:rsid w:val="00E40ECD"/>
    <w:rsid w:val="00E45561"/>
    <w:rsid w:val="00E51DAE"/>
    <w:rsid w:val="00E533C8"/>
    <w:rsid w:val="00E57F1F"/>
    <w:rsid w:val="00E671E1"/>
    <w:rsid w:val="00EC1CF1"/>
    <w:rsid w:val="00ED7C44"/>
    <w:rsid w:val="00EE74C7"/>
    <w:rsid w:val="00EF3B0D"/>
    <w:rsid w:val="00F37844"/>
    <w:rsid w:val="00F42433"/>
    <w:rsid w:val="00F44771"/>
    <w:rsid w:val="00F50AA6"/>
    <w:rsid w:val="00F54282"/>
    <w:rsid w:val="00FA6D1A"/>
    <w:rsid w:val="00FA7B36"/>
    <w:rsid w:val="00FB74BA"/>
    <w:rsid w:val="00FD1A96"/>
    <w:rsid w:val="00FE27EF"/>
    <w:rsid w:val="00FF5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9C0"/>
    <w:pPr>
      <w:ind w:left="-450"/>
      <w:jc w:val="both"/>
    </w:pPr>
    <w:rPr>
      <w:rFonts w:asciiTheme="majorHAnsi" w:hAnsiTheme="majorHAnsi"/>
      <w:sz w:val="24"/>
      <w:szCs w:val="24"/>
    </w:rPr>
  </w:style>
  <w:style w:type="paragraph" w:styleId="Heading2">
    <w:name w:val="heading 2"/>
    <w:basedOn w:val="Normal"/>
    <w:link w:val="Heading2Char"/>
    <w:uiPriority w:val="9"/>
    <w:semiHidden/>
    <w:unhideWhenUsed/>
    <w:qFormat/>
    <w:rsid w:val="00523D8F"/>
    <w:pPr>
      <w:keepNext/>
      <w:spacing w:before="80" w:after="0" w:line="240" w:lineRule="auto"/>
      <w:ind w:left="0"/>
      <w:jc w:val="left"/>
      <w:outlineLvl w:val="1"/>
    </w:pPr>
    <w:rPr>
      <w:rFonts w:ascii="Cambria" w:hAnsi="Cambria" w:cs="Times New Roman"/>
      <w:color w:val="4040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Bodytext1">
    <w:name w:val="Thesis Body text1"/>
    <w:basedOn w:val="Normal"/>
    <w:autoRedefine/>
    <w:qFormat/>
    <w:rsid w:val="004719C0"/>
    <w:pPr>
      <w:spacing w:after="0" w:line="240" w:lineRule="auto"/>
    </w:pPr>
    <w:rPr>
      <w:rFonts w:ascii="Calibri" w:eastAsia="Times New Roman" w:hAnsi="Calibri" w:cs="Arial"/>
      <w:lang w:val="en-AU"/>
    </w:rPr>
  </w:style>
  <w:style w:type="paragraph" w:styleId="ListParagraph">
    <w:name w:val="List Paragraph"/>
    <w:basedOn w:val="Normal"/>
    <w:uiPriority w:val="34"/>
    <w:qFormat/>
    <w:rsid w:val="004719C0"/>
    <w:pPr>
      <w:ind w:left="720"/>
      <w:contextualSpacing/>
    </w:pPr>
  </w:style>
  <w:style w:type="character" w:styleId="Hyperlink">
    <w:name w:val="Hyperlink"/>
    <w:basedOn w:val="DefaultParagraphFont"/>
    <w:uiPriority w:val="99"/>
    <w:unhideWhenUsed/>
    <w:rsid w:val="004719C0"/>
    <w:rPr>
      <w:color w:val="0000FF" w:themeColor="hyperlink"/>
      <w:u w:val="single"/>
    </w:rPr>
  </w:style>
  <w:style w:type="paragraph" w:customStyle="1" w:styleId="Default">
    <w:name w:val="Default"/>
    <w:rsid w:val="004719C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719C0"/>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1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9C0"/>
    <w:rPr>
      <w:rFonts w:ascii="Tahoma" w:hAnsi="Tahoma" w:cs="Tahoma"/>
      <w:sz w:val="16"/>
      <w:szCs w:val="16"/>
    </w:rPr>
  </w:style>
  <w:style w:type="paragraph" w:styleId="Header">
    <w:name w:val="header"/>
    <w:basedOn w:val="Normal"/>
    <w:link w:val="HeaderChar"/>
    <w:uiPriority w:val="99"/>
    <w:semiHidden/>
    <w:unhideWhenUsed/>
    <w:rsid w:val="004719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19C0"/>
    <w:rPr>
      <w:rFonts w:asciiTheme="majorHAnsi" w:hAnsiTheme="majorHAnsi"/>
      <w:sz w:val="24"/>
      <w:szCs w:val="24"/>
    </w:rPr>
  </w:style>
  <w:style w:type="paragraph" w:styleId="Footer">
    <w:name w:val="footer"/>
    <w:basedOn w:val="Normal"/>
    <w:link w:val="FooterChar"/>
    <w:uiPriority w:val="99"/>
    <w:unhideWhenUsed/>
    <w:rsid w:val="00471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9C0"/>
    <w:rPr>
      <w:rFonts w:asciiTheme="majorHAnsi" w:hAnsiTheme="majorHAnsi"/>
      <w:sz w:val="24"/>
      <w:szCs w:val="24"/>
    </w:rPr>
  </w:style>
  <w:style w:type="character" w:customStyle="1" w:styleId="Heading2Char">
    <w:name w:val="Heading 2 Char"/>
    <w:basedOn w:val="DefaultParagraphFont"/>
    <w:link w:val="Heading2"/>
    <w:uiPriority w:val="9"/>
    <w:semiHidden/>
    <w:rsid w:val="00523D8F"/>
    <w:rPr>
      <w:rFonts w:ascii="Cambria" w:hAnsi="Cambria" w:cs="Times New Roman"/>
      <w:color w:val="404040"/>
      <w:sz w:val="28"/>
      <w:szCs w:val="28"/>
    </w:rPr>
  </w:style>
  <w:style w:type="paragraph" w:styleId="Bibliography">
    <w:name w:val="Bibliography"/>
    <w:basedOn w:val="Normal"/>
    <w:next w:val="Normal"/>
    <w:uiPriority w:val="37"/>
    <w:unhideWhenUsed/>
    <w:rsid w:val="00903B76"/>
    <w:pPr>
      <w:ind w:left="0"/>
      <w:jc w:val="left"/>
    </w:pPr>
    <w:rPr>
      <w:rFonts w:asciiTheme="minorHAnsi" w:hAnsiTheme="minorHAnsi"/>
      <w:sz w:val="22"/>
      <w:szCs w:val="22"/>
      <w:lang w:val="en-GB"/>
    </w:rPr>
  </w:style>
  <w:style w:type="character" w:styleId="HTMLCite">
    <w:name w:val="HTML Cite"/>
    <w:basedOn w:val="DefaultParagraphFont"/>
    <w:uiPriority w:val="99"/>
    <w:semiHidden/>
    <w:unhideWhenUsed/>
    <w:rsid w:val="00903B76"/>
    <w:rPr>
      <w:i/>
      <w:iCs/>
    </w:rPr>
  </w:style>
</w:styles>
</file>

<file path=word/webSettings.xml><?xml version="1.0" encoding="utf-8"?>
<w:webSettings xmlns:r="http://schemas.openxmlformats.org/officeDocument/2006/relationships" xmlns:w="http://schemas.openxmlformats.org/wordprocessingml/2006/main">
  <w:divs>
    <w:div w:id="388575624">
      <w:bodyDiv w:val="1"/>
      <w:marLeft w:val="0"/>
      <w:marRight w:val="0"/>
      <w:marTop w:val="0"/>
      <w:marBottom w:val="0"/>
      <w:divBdr>
        <w:top w:val="none" w:sz="0" w:space="0" w:color="auto"/>
        <w:left w:val="none" w:sz="0" w:space="0" w:color="auto"/>
        <w:bottom w:val="none" w:sz="0" w:space="0" w:color="auto"/>
        <w:right w:val="none" w:sz="0" w:space="0" w:color="auto"/>
      </w:divBdr>
    </w:div>
    <w:div w:id="925698875">
      <w:bodyDiv w:val="1"/>
      <w:marLeft w:val="0"/>
      <w:marRight w:val="0"/>
      <w:marTop w:val="0"/>
      <w:marBottom w:val="0"/>
      <w:divBdr>
        <w:top w:val="none" w:sz="0" w:space="0" w:color="auto"/>
        <w:left w:val="none" w:sz="0" w:space="0" w:color="auto"/>
        <w:bottom w:val="none" w:sz="0" w:space="0" w:color="auto"/>
        <w:right w:val="none" w:sz="0" w:space="0" w:color="auto"/>
      </w:divBdr>
    </w:div>
    <w:div w:id="206798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igitalcollections.sit.edu/isp_collection/216" TargetMode="External"/><Relationship Id="rId4" Type="http://schemas.openxmlformats.org/officeDocument/2006/relationships/settings" Target="settings.xml"/><Relationship Id="rId9" Type="http://schemas.openxmlformats.org/officeDocument/2006/relationships/image" Target="cid:image001.jpg@01CF27EE.9B10C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683C3-EDE1-4F6F-9CE6-440D403D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sanjaleenp</dc:creator>
  <cp:lastModifiedBy>sanjaleenp</cp:lastModifiedBy>
  <cp:revision>6</cp:revision>
  <dcterms:created xsi:type="dcterms:W3CDTF">2017-11-15T03:14:00Z</dcterms:created>
  <dcterms:modified xsi:type="dcterms:W3CDTF">2017-11-16T20:36:00Z</dcterms:modified>
</cp:coreProperties>
</file>